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5C46" w14:textId="36EF34D7" w:rsidR="001217FD" w:rsidRDefault="000F46BF" w:rsidP="00BF7C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Особенности проведения выборов депутатов</w:t>
      </w:r>
    </w:p>
    <w:p w14:paraId="2325BC13" w14:textId="7E892DAF" w:rsidR="000F46BF" w:rsidRPr="007E7C2F" w:rsidRDefault="000F46BF" w:rsidP="007D55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 единый день голосования</w:t>
      </w:r>
      <w:r w:rsidR="001217FD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 25 февраля 2024 г.</w:t>
      </w:r>
    </w:p>
    <w:p w14:paraId="7E6E880F" w14:textId="77777777" w:rsidR="001217FD" w:rsidRPr="007E7C2F" w:rsidRDefault="001217FD" w:rsidP="000F46BF">
      <w:pPr>
        <w:spacing w:after="0" w:line="480" w:lineRule="atLeast"/>
        <w:ind w:firstLine="710"/>
        <w:jc w:val="center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</w:p>
    <w:p w14:paraId="3F5E9D0A" w14:textId="3540FFE4" w:rsidR="000F46BF" w:rsidRPr="007E7C2F" w:rsidRDefault="000F46BF" w:rsidP="007E7C2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4 марта 2023 г. вступила в силу обновленная редакция</w:t>
      </w:r>
      <w:r w:rsid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Избирательного кодекса Республики Беларусь.</w:t>
      </w:r>
    </w:p>
    <w:p w14:paraId="53E326AF" w14:textId="28CFBE39" w:rsidR="000F46BF" w:rsidRPr="007E7C2F" w:rsidRDefault="000F46BF" w:rsidP="007E7C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Изменения в Избирательном кодексе </w:t>
      </w:r>
      <w:r w:rsid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–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это часть масштабной работы по модернизации политической системы страны, которая проводится в соответствии с изменениями Конституции, принятыми на республиканском референдуме 27 февраля 2022 года. </w:t>
      </w:r>
    </w:p>
    <w:p w14:paraId="74FF3F29" w14:textId="7F651FF8" w:rsidR="00261649" w:rsidRPr="007E7C2F" w:rsidRDefault="000F46BF" w:rsidP="000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Изменения прошли широкое общественное обсуждение, соответствуют международным стандартам, направлены на развитие избирательной системы Республики Беларусь, позволят сократить избирательный цикл и расходы на проведение избирательных кампаний.</w:t>
      </w:r>
    </w:p>
    <w:p w14:paraId="3D3CD94E" w14:textId="06C60594" w:rsidR="005D29F7" w:rsidRDefault="000F46BF" w:rsidP="005D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7C2F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предусмотрено, что выборы депутатов Палаты представителей Национального собрания и депутатов местных Советов депутатов будут проходить в </w:t>
      </w:r>
      <w:r w:rsidRPr="007E7C2F">
        <w:rPr>
          <w:rFonts w:ascii="Times New Roman" w:hAnsi="Times New Roman" w:cs="Times New Roman"/>
          <w:b/>
          <w:bCs/>
          <w:sz w:val="30"/>
          <w:szCs w:val="30"/>
        </w:rPr>
        <w:t>единый день голосования</w:t>
      </w:r>
      <w:r w:rsidRPr="007E7C2F">
        <w:rPr>
          <w:rFonts w:ascii="Times New Roman" w:hAnsi="Times New Roman" w:cs="Times New Roman"/>
          <w:sz w:val="30"/>
          <w:szCs w:val="30"/>
        </w:rPr>
        <w:t xml:space="preserve"> в последнее воскресенье февраля. Очередные выборы придутся на </w:t>
      </w:r>
      <w:r w:rsidRPr="007E7C2F">
        <w:rPr>
          <w:rFonts w:ascii="Times New Roman" w:hAnsi="Times New Roman" w:cs="Times New Roman"/>
          <w:b/>
          <w:bCs/>
          <w:sz w:val="30"/>
          <w:szCs w:val="30"/>
        </w:rPr>
        <w:t xml:space="preserve">25 февраля 2024 года. </w:t>
      </w:r>
      <w:r w:rsidRPr="007E7C2F">
        <w:rPr>
          <w:rFonts w:ascii="Times New Roman" w:hAnsi="Times New Roman" w:cs="Times New Roman"/>
          <w:sz w:val="30"/>
          <w:szCs w:val="30"/>
        </w:rPr>
        <w:t xml:space="preserve">В 2025 году, </w:t>
      </w:r>
      <w:r w:rsidRPr="001217FD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1217FD">
        <w:rPr>
          <w:rFonts w:ascii="Times New Roman" w:hAnsi="Times New Roman" w:cs="Times New Roman"/>
          <w:sz w:val="30"/>
          <w:szCs w:val="30"/>
        </w:rPr>
        <w:br/>
        <w:t>20 июля</w:t>
      </w:r>
      <w:r w:rsidRPr="007E7C2F">
        <w:rPr>
          <w:rFonts w:ascii="Times New Roman" w:hAnsi="Times New Roman" w:cs="Times New Roman"/>
          <w:sz w:val="30"/>
          <w:szCs w:val="30"/>
        </w:rPr>
        <w:t>, в стране пройдут выборы Президента Республики Беларусь.</w:t>
      </w:r>
    </w:p>
    <w:p w14:paraId="75D0A3DA" w14:textId="028EAF7E" w:rsidR="00BF7C76" w:rsidRPr="007E7C2F" w:rsidRDefault="00BF7C76" w:rsidP="00BF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Избирательная кампания 2024 года пройдет под девизом «Выбираем вместе!» </w:t>
      </w:r>
      <w:r w:rsidRPr="00BF7C76">
        <w:rPr>
          <w:rFonts w:ascii="Times New Roman" w:hAnsi="Times New Roman" w:cs="Times New Roman"/>
          <w:sz w:val="30"/>
          <w:szCs w:val="30"/>
        </w:rPr>
        <w:t xml:space="preserve">Разработан логотип и брендбук единого дня голосования, эскизы информационных плакатов, баннеров для оформления территорий населенных пунктов к выборам. </w:t>
      </w:r>
    </w:p>
    <w:p w14:paraId="57BE969D" w14:textId="2252E86F" w:rsidR="00922F5D" w:rsidRPr="007E7C2F" w:rsidRDefault="00922F5D" w:rsidP="001217F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7FD">
        <w:rPr>
          <w:rFonts w:ascii="Times New Roman" w:hAnsi="Times New Roman" w:cs="Times New Roman"/>
          <w:b/>
          <w:bCs/>
          <w:sz w:val="30"/>
          <w:szCs w:val="30"/>
        </w:rPr>
        <w:t>Избирательным правом на предстоящих выборах обладают</w:t>
      </w:r>
      <w:r w:rsidRPr="007E7C2F">
        <w:rPr>
          <w:rFonts w:ascii="Times New Roman" w:hAnsi="Times New Roman" w:cs="Times New Roman"/>
          <w:sz w:val="30"/>
          <w:szCs w:val="30"/>
        </w:rPr>
        <w:t xml:space="preserve"> дееспособные граждане Республики Беларусь, достигшие 18-летнего возраста, кроме лиц, находящихся в местах лишения свободы, а также лиц, признанных недееспособными по решению суда.</w:t>
      </w:r>
      <w:r w:rsidR="001217FD">
        <w:rPr>
          <w:rFonts w:ascii="Times New Roman" w:hAnsi="Times New Roman" w:cs="Times New Roman"/>
          <w:sz w:val="30"/>
          <w:szCs w:val="30"/>
        </w:rPr>
        <w:t xml:space="preserve"> </w:t>
      </w:r>
      <w:r w:rsidRPr="007E7C2F">
        <w:rPr>
          <w:rFonts w:ascii="Times New Roman" w:hAnsi="Times New Roman" w:cs="Times New Roman"/>
          <w:sz w:val="30"/>
          <w:szCs w:val="30"/>
        </w:rPr>
        <w:t>В голосовании также могут принять участие граждане Российской Федерации, постоянно проживающие в Республике Беларусь, но только за кандидатов в депутаты местных Советов депутатов.</w:t>
      </w:r>
    </w:p>
    <w:p w14:paraId="07F2BA0B" w14:textId="25E9AE4D" w:rsidR="005D29F7" w:rsidRPr="007E7C2F" w:rsidRDefault="005D29F7" w:rsidP="000F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7C2F">
        <w:rPr>
          <w:rFonts w:ascii="Times New Roman" w:hAnsi="Times New Roman" w:cs="Times New Roman"/>
          <w:sz w:val="30"/>
          <w:szCs w:val="30"/>
        </w:rPr>
        <w:t>Учитывая, что в единый день голосования будут избираться депутаты всех уровней на избирательных участках избиратели получат от 2 до 4 избирательных бюллетеней в зависимости от места проживания.</w:t>
      </w:r>
    </w:p>
    <w:p w14:paraId="136949A5" w14:textId="11CADB33" w:rsidR="001217FD" w:rsidRPr="00BF7C76" w:rsidRDefault="005D29F7" w:rsidP="00BF7C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E7C2F">
        <w:rPr>
          <w:rFonts w:ascii="Times New Roman" w:hAnsi="Times New Roman" w:cs="Times New Roman"/>
          <w:i/>
          <w:iCs/>
          <w:sz w:val="30"/>
          <w:szCs w:val="30"/>
        </w:rPr>
        <w:t xml:space="preserve">К примеру, </w:t>
      </w:r>
      <w:r w:rsidR="001217FD"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Pr="007E7C2F">
        <w:rPr>
          <w:rFonts w:ascii="Times New Roman" w:hAnsi="Times New Roman" w:cs="Times New Roman"/>
          <w:i/>
          <w:iCs/>
          <w:sz w:val="30"/>
          <w:szCs w:val="30"/>
        </w:rPr>
        <w:t xml:space="preserve"> Минске избиратели получат по 2 бюллетеня: по выборам депутатов Палаты представителей и Минского городского Совета депутатов, избиратели проживающие в областных центрах и районных центрах – по 3 бюллетеня: по выборам депутатов Палаты представителей, облсовета, горсовета или райсовета, а Избиратели, проживающие в сельской местности – по 4 </w:t>
      </w:r>
      <w:r w:rsidR="00922F5D" w:rsidRPr="007E7C2F">
        <w:rPr>
          <w:rFonts w:ascii="Times New Roman" w:hAnsi="Times New Roman" w:cs="Times New Roman"/>
          <w:i/>
          <w:iCs/>
          <w:sz w:val="30"/>
          <w:szCs w:val="30"/>
        </w:rPr>
        <w:t>бюллетеня: по</w:t>
      </w:r>
      <w:r w:rsidRPr="007E7C2F">
        <w:rPr>
          <w:rFonts w:ascii="Times New Roman" w:hAnsi="Times New Roman" w:cs="Times New Roman"/>
          <w:i/>
          <w:iCs/>
          <w:sz w:val="30"/>
          <w:szCs w:val="30"/>
        </w:rPr>
        <w:t xml:space="preserve"> выборам в Палату представителей, облсовет, райсовет, сельский или поселковый Совет депутатов.</w:t>
      </w:r>
    </w:p>
    <w:p w14:paraId="78FD6F91" w14:textId="493B03F3" w:rsidR="00922F5D" w:rsidRPr="001217FD" w:rsidRDefault="00922F5D" w:rsidP="001217FD">
      <w:pPr>
        <w:pStyle w:val="newncpi"/>
        <w:ind w:firstLine="709"/>
        <w:rPr>
          <w:sz w:val="30"/>
          <w:szCs w:val="30"/>
        </w:rPr>
      </w:pPr>
      <w:r w:rsidRPr="001217FD">
        <w:rPr>
          <w:b/>
          <w:bCs/>
          <w:sz w:val="30"/>
          <w:szCs w:val="30"/>
        </w:rPr>
        <w:lastRenderedPageBreak/>
        <w:t>Граждане включаются в список избирателей на участке для голосования</w:t>
      </w:r>
      <w:r w:rsidRPr="007E7C2F">
        <w:rPr>
          <w:sz w:val="30"/>
          <w:szCs w:val="30"/>
        </w:rPr>
        <w:t xml:space="preserve"> по месту регистрации по месту жительства или месту пребывания.</w:t>
      </w:r>
      <w:r w:rsidR="001217FD">
        <w:rPr>
          <w:sz w:val="30"/>
          <w:szCs w:val="30"/>
        </w:rPr>
        <w:t xml:space="preserve"> </w:t>
      </w:r>
      <w:r w:rsidRPr="007E7C2F">
        <w:rPr>
          <w:sz w:val="30"/>
          <w:szCs w:val="30"/>
        </w:rPr>
        <w:t xml:space="preserve">Для </w:t>
      </w:r>
      <w:r w:rsidRPr="007E7C2F">
        <w:rPr>
          <w:rFonts w:eastAsia="Times New Roman"/>
          <w:sz w:val="30"/>
          <w:szCs w:val="30"/>
        </w:rPr>
        <w:t>уточнения информации о включении в список избирателей</w:t>
      </w:r>
      <w:r w:rsidRPr="007E7C2F">
        <w:rPr>
          <w:sz w:val="30"/>
          <w:szCs w:val="30"/>
        </w:rPr>
        <w:t xml:space="preserve"> и </w:t>
      </w:r>
      <w:r w:rsidRPr="007E7C2F">
        <w:rPr>
          <w:rFonts w:eastAsia="Times New Roman"/>
          <w:sz w:val="30"/>
          <w:szCs w:val="30"/>
        </w:rPr>
        <w:t xml:space="preserve">проверки правильности указанных в нем сведений гражданин </w:t>
      </w:r>
      <w:r w:rsidRPr="007E7C2F">
        <w:rPr>
          <w:sz w:val="30"/>
          <w:szCs w:val="30"/>
        </w:rPr>
        <w:t xml:space="preserve">может </w:t>
      </w:r>
      <w:r w:rsidRPr="007E7C2F">
        <w:rPr>
          <w:rFonts w:eastAsia="Times New Roman"/>
          <w:sz w:val="30"/>
          <w:szCs w:val="30"/>
        </w:rPr>
        <w:t xml:space="preserve">обратиться с </w:t>
      </w:r>
      <w:r w:rsidRPr="007E7C2F">
        <w:rPr>
          <w:rFonts w:eastAsia="Times New Roman"/>
          <w:b/>
          <w:bCs/>
          <w:sz w:val="30"/>
          <w:szCs w:val="30"/>
        </w:rPr>
        <w:t>9 февраля 2024 г.</w:t>
      </w:r>
      <w:r w:rsidRPr="007E7C2F">
        <w:rPr>
          <w:rFonts w:eastAsia="Times New Roman"/>
          <w:sz w:val="30"/>
          <w:szCs w:val="30"/>
        </w:rPr>
        <w:t> в участковую избирательную комиссию по месту своей регистрации.</w:t>
      </w:r>
    </w:p>
    <w:p w14:paraId="58E0EF3F" w14:textId="7166990A" w:rsidR="00BB5BDD" w:rsidRPr="007E7C2F" w:rsidRDefault="00922F5D" w:rsidP="00BB5BDD">
      <w:pPr>
        <w:pStyle w:val="newncpi"/>
        <w:ind w:firstLine="709"/>
        <w:rPr>
          <w:sz w:val="30"/>
          <w:szCs w:val="30"/>
        </w:rPr>
      </w:pPr>
      <w:r w:rsidRPr="007E7C2F">
        <w:rPr>
          <w:sz w:val="30"/>
          <w:szCs w:val="30"/>
        </w:rPr>
        <w:t xml:space="preserve">При отсутствии у гражданина регистрации на территории участка для голосования он может быть дополнительно включен в список </w:t>
      </w:r>
      <w:r w:rsidR="001217FD">
        <w:rPr>
          <w:sz w:val="30"/>
          <w:szCs w:val="30"/>
        </w:rPr>
        <w:br/>
      </w:r>
      <w:r w:rsidRPr="007E7C2F">
        <w:rPr>
          <w:b/>
          <w:bCs/>
          <w:sz w:val="30"/>
          <w:szCs w:val="30"/>
        </w:rPr>
        <w:t>не позднее 24 февраля 2024 г.</w:t>
      </w:r>
      <w:r w:rsidRPr="007E7C2F">
        <w:rPr>
          <w:sz w:val="30"/>
          <w:szCs w:val="30"/>
        </w:rPr>
        <w:t xml:space="preserve"> на основании паспорта (идентификационной карты) и </w:t>
      </w:r>
      <w:r w:rsidRPr="007E7C2F">
        <w:rPr>
          <w:b/>
          <w:bCs/>
          <w:sz w:val="30"/>
          <w:szCs w:val="30"/>
        </w:rPr>
        <w:t>документа, подтверждающего проживание</w:t>
      </w:r>
      <w:r w:rsidRPr="007E7C2F">
        <w:rPr>
          <w:sz w:val="30"/>
          <w:szCs w:val="30"/>
        </w:rPr>
        <w:t xml:space="preserve"> на территории участка для голосования.</w:t>
      </w:r>
      <w:r w:rsidR="00BB5BDD" w:rsidRPr="007E7C2F">
        <w:rPr>
          <w:sz w:val="30"/>
          <w:szCs w:val="30"/>
        </w:rPr>
        <w:t xml:space="preserve"> Данная норма снижает нагрузку на участковые комиссии и позволяет до основного дня голосования провести мероприятия, направленные </w:t>
      </w:r>
      <w:r w:rsidR="00BB5BDD" w:rsidRPr="001217FD">
        <w:rPr>
          <w:sz w:val="30"/>
          <w:szCs w:val="30"/>
        </w:rPr>
        <w:t>на исключение двойного голосования</w:t>
      </w:r>
      <w:r w:rsidR="00BB5BDD" w:rsidRPr="007E7C2F">
        <w:rPr>
          <w:sz w:val="30"/>
          <w:szCs w:val="30"/>
          <w:u w:val="single"/>
        </w:rPr>
        <w:t xml:space="preserve"> </w:t>
      </w:r>
      <w:r w:rsidR="00BB5BDD" w:rsidRPr="007E7C2F">
        <w:rPr>
          <w:sz w:val="30"/>
          <w:szCs w:val="30"/>
        </w:rPr>
        <w:t>и реализацию права граждан на участие в выборах.</w:t>
      </w:r>
    </w:p>
    <w:p w14:paraId="7161C827" w14:textId="378BECAF" w:rsidR="00317C7C" w:rsidRPr="007E7C2F" w:rsidRDefault="00BB5BDD" w:rsidP="00317C7C">
      <w:pPr>
        <w:pStyle w:val="newncpi"/>
        <w:ind w:firstLine="709"/>
        <w:rPr>
          <w:sz w:val="30"/>
          <w:szCs w:val="30"/>
        </w:rPr>
      </w:pPr>
      <w:r w:rsidRPr="007E7C2F">
        <w:rPr>
          <w:sz w:val="30"/>
          <w:szCs w:val="30"/>
        </w:rPr>
        <w:t xml:space="preserve">Что касаемо работы участковых избирательных комиссий, то они будут </w:t>
      </w:r>
      <w:r w:rsidR="00317C7C" w:rsidRPr="007E7C2F">
        <w:rPr>
          <w:sz w:val="30"/>
          <w:szCs w:val="30"/>
        </w:rPr>
        <w:t>образованы не позднее 25 января 2024 года. Количество членов участковых комиссий после обновления Избирательного кодекса осталось прежним –5 – 19 человек.</w:t>
      </w:r>
    </w:p>
    <w:p w14:paraId="47CC25FF" w14:textId="4EC86211" w:rsidR="00C649C5" w:rsidRPr="007E7C2F" w:rsidRDefault="00C649C5" w:rsidP="00317C7C">
      <w:pPr>
        <w:pStyle w:val="newncpi"/>
        <w:ind w:firstLine="709"/>
        <w:rPr>
          <w:sz w:val="30"/>
          <w:szCs w:val="30"/>
        </w:rPr>
      </w:pPr>
      <w:r w:rsidRPr="001217FD">
        <w:rPr>
          <w:b/>
          <w:bCs/>
          <w:sz w:val="30"/>
          <w:szCs w:val="30"/>
        </w:rPr>
        <w:t>Избиратель может проголосовать на избирательном участке</w:t>
      </w:r>
      <w:r w:rsidRPr="007E7C2F">
        <w:rPr>
          <w:sz w:val="30"/>
          <w:szCs w:val="30"/>
        </w:rPr>
        <w:t xml:space="preserve"> в день выборов 25 февраля 2024 года с 8 до 20 часов.</w:t>
      </w:r>
    </w:p>
    <w:p w14:paraId="7378D8F1" w14:textId="740178B8" w:rsidR="00C649C5" w:rsidRPr="007E7C2F" w:rsidRDefault="00C649C5" w:rsidP="00C649C5">
      <w:pPr>
        <w:pStyle w:val="newncpi"/>
        <w:ind w:firstLine="709"/>
        <w:rPr>
          <w:sz w:val="30"/>
          <w:szCs w:val="30"/>
        </w:rPr>
      </w:pPr>
      <w:r w:rsidRPr="007E7C2F">
        <w:rPr>
          <w:sz w:val="30"/>
          <w:szCs w:val="30"/>
        </w:rPr>
        <w:t xml:space="preserve">Если избиратель по какой-либо причине </w:t>
      </w:r>
      <w:r w:rsidRPr="001217FD">
        <w:rPr>
          <w:b/>
          <w:bCs/>
          <w:sz w:val="30"/>
          <w:szCs w:val="30"/>
        </w:rPr>
        <w:t>не может принять участие в голосовании в день выборов, то он имеет право проголосовать досрочно</w:t>
      </w:r>
      <w:r w:rsidRPr="007E7C2F">
        <w:rPr>
          <w:sz w:val="30"/>
          <w:szCs w:val="30"/>
        </w:rPr>
        <w:t>. Досрочное голосование начинается за 5 дней до дня выборов, при этом избирательные участки будут открыты с 12 до 19 часов без перерыва в работе участковой комиссии.</w:t>
      </w:r>
    </w:p>
    <w:p w14:paraId="61EF8BB2" w14:textId="13B84212" w:rsidR="000601DC" w:rsidRPr="007E7C2F" w:rsidRDefault="000601DC" w:rsidP="000601DC">
      <w:pPr>
        <w:pStyle w:val="newncpi"/>
        <w:ind w:firstLine="709"/>
        <w:rPr>
          <w:sz w:val="30"/>
          <w:szCs w:val="30"/>
        </w:rPr>
      </w:pPr>
      <w:r w:rsidRPr="007E7C2F">
        <w:rPr>
          <w:sz w:val="30"/>
          <w:szCs w:val="30"/>
        </w:rPr>
        <w:t>Если избиратель по состоянию здоровья или другим уважительным причинам не имеет возможности прийти в день выборов на участок для голосования, он может письменно или устно обратиться в участковую избирательную комиссию в ее рабочее время, а в день выборов 25 февраля – до 18.00 часов с просьбой организовать голосование по месту нахождения в день выборов, т.е. на дому.</w:t>
      </w:r>
    </w:p>
    <w:p w14:paraId="11FC6771" w14:textId="64C50269" w:rsidR="000601DC" w:rsidRDefault="000601DC" w:rsidP="00060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7E7C2F">
        <w:rPr>
          <w:rFonts w:ascii="Times New Roman" w:eastAsia="Times New Roman" w:hAnsi="Times New Roman" w:cs="Times New Roman"/>
          <w:sz w:val="30"/>
          <w:szCs w:val="30"/>
          <w:lang w:eastAsia="ru-BY"/>
        </w:rPr>
        <w:t>Избиратели, находящиеся в день выборов в больницах, санаториях, домах отдыха или в других местах временного нахождения</w:t>
      </w:r>
      <w:r w:rsidRPr="007E7C2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, </w:t>
      </w:r>
      <w:r w:rsidRPr="007E7C2F">
        <w:rPr>
          <w:rFonts w:ascii="Times New Roman" w:eastAsia="Times New Roman" w:hAnsi="Times New Roman" w:cs="Times New Roman"/>
          <w:sz w:val="30"/>
          <w:szCs w:val="30"/>
          <w:lang w:eastAsia="ru-BY"/>
        </w:rPr>
        <w:t>с</w:t>
      </w:r>
      <w:proofErr w:type="spellStart"/>
      <w:r w:rsidRPr="007E7C2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мо</w:t>
      </w:r>
      <w:proofErr w:type="spellEnd"/>
      <w:r w:rsidRPr="007E7C2F">
        <w:rPr>
          <w:rFonts w:ascii="Times New Roman" w:eastAsia="Times New Roman" w:hAnsi="Times New Roman" w:cs="Times New Roman"/>
          <w:sz w:val="30"/>
          <w:szCs w:val="30"/>
          <w:lang w:eastAsia="ru-BY"/>
        </w:rPr>
        <w:t>гут</w:t>
      </w:r>
      <w:r w:rsidRPr="007E7C2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проголосовать на избирательном участке, созданном</w:t>
      </w:r>
      <w:r w:rsidRPr="007E7C2F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непосредственно</w:t>
      </w:r>
      <w:r w:rsidRPr="007E7C2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по месту </w:t>
      </w:r>
      <w:r w:rsidRPr="007E7C2F">
        <w:rPr>
          <w:rFonts w:ascii="Times New Roman" w:eastAsia="Times New Roman" w:hAnsi="Times New Roman" w:cs="Times New Roman"/>
          <w:sz w:val="30"/>
          <w:szCs w:val="30"/>
          <w:lang w:eastAsia="ru-BY"/>
        </w:rPr>
        <w:t>нахождения</w:t>
      </w:r>
      <w:r w:rsidRPr="007E7C2F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.</w:t>
      </w:r>
    </w:p>
    <w:p w14:paraId="74FA718C" w14:textId="022AD165" w:rsidR="007D55E0" w:rsidRPr="007D55E0" w:rsidRDefault="007D55E0" w:rsidP="00121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Приятный сюрприз ждет впервые голосующих избирателей. Для всех них ЦИК Беларуси подготовлен сувенир – это лимитированная подарочная версия Конституции Республики Беларусь.</w:t>
      </w:r>
      <w:r w:rsidR="001217F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К слову, к</w:t>
      </w:r>
      <w:r w:rsidRPr="007D55E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впервые голосующим будут относится граждане, которые достигли/достигнут возраста 18 лет в период с 28 февраля 2022 г. по 25 февраля 2024 г. включительно.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</w:p>
    <w:p w14:paraId="1315404A" w14:textId="483EDF76" w:rsidR="00511947" w:rsidRPr="007E7C2F" w:rsidRDefault="001217FD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Обновленным избирательным законодательством у</w:t>
      </w:r>
      <w:r w:rsidR="000601DC" w:rsidRPr="007E7C2F">
        <w:rPr>
          <w:rFonts w:ascii="Times New Roman" w:eastAsia="Calibri" w:hAnsi="Times New Roman" w:cs="Times New Roman"/>
          <w:sz w:val="30"/>
          <w:szCs w:val="30"/>
        </w:rPr>
        <w:t xml:space="preserve">становлен </w:t>
      </w:r>
      <w:r w:rsidR="000601DC" w:rsidRPr="007E7C2F">
        <w:rPr>
          <w:rFonts w:ascii="Times New Roman" w:eastAsia="Calibri" w:hAnsi="Times New Roman" w:cs="Times New Roman"/>
          <w:b/>
          <w:bCs/>
          <w:sz w:val="30"/>
          <w:szCs w:val="30"/>
        </w:rPr>
        <w:t>запрет на вынос выданного бюллетеня</w:t>
      </w:r>
      <w:r w:rsidR="000601DC" w:rsidRPr="007E7C2F">
        <w:rPr>
          <w:rFonts w:ascii="Times New Roman" w:eastAsia="Calibri" w:hAnsi="Times New Roman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="000601DC" w:rsidRPr="007E7C2F">
        <w:rPr>
          <w:rFonts w:ascii="Times New Roman" w:eastAsia="Calibri" w:hAnsi="Times New Roman" w:cs="Times New Roman"/>
          <w:b/>
          <w:bCs/>
          <w:sz w:val="30"/>
          <w:szCs w:val="30"/>
        </w:rPr>
        <w:t>фото- и видеосъемки</w:t>
      </w:r>
      <w:r w:rsidR="000601DC" w:rsidRPr="007E7C2F">
        <w:rPr>
          <w:rFonts w:ascii="Times New Roman" w:eastAsia="Calibri" w:hAnsi="Times New Roman" w:cs="Times New Roman"/>
          <w:sz w:val="30"/>
          <w:szCs w:val="30"/>
        </w:rPr>
        <w:t xml:space="preserve"> заполненного бюллетеня с целью обеспечения соблюдения принципа тайного голосования. </w:t>
      </w:r>
      <w:r w:rsidR="00511947"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Нарушение данной нормы повлечет применение мер административной ответственности к правонарушителям (до 15 базовых величин штраф = 555 рублей). Правом на составление протоколов об административном правонарушении обладают местные исполнительные и распорядительные органы, решение о привлечении к административной ответственности принимает суд.</w:t>
      </w:r>
    </w:p>
    <w:p w14:paraId="32248C91" w14:textId="4909B420" w:rsidR="000601DC" w:rsidRPr="007E7C2F" w:rsidRDefault="000601DC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E7C2F">
        <w:rPr>
          <w:rFonts w:ascii="Times New Roman" w:eastAsia="Calibri" w:hAnsi="Times New Roman" w:cs="Times New Roman"/>
          <w:sz w:val="30"/>
          <w:szCs w:val="30"/>
        </w:rPr>
        <w:t xml:space="preserve">Взамен испорченного бюллетеня можно будет </w:t>
      </w:r>
      <w:r w:rsidR="001217FD">
        <w:rPr>
          <w:rFonts w:ascii="Times New Roman" w:eastAsia="Calibri" w:hAnsi="Times New Roman" w:cs="Times New Roman"/>
          <w:sz w:val="30"/>
          <w:szCs w:val="30"/>
        </w:rPr>
        <w:t>получить</w:t>
      </w:r>
      <w:r w:rsidRPr="007E7C2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E7C2F">
        <w:rPr>
          <w:rFonts w:ascii="Times New Roman" w:eastAsia="Calibri" w:hAnsi="Times New Roman" w:cs="Times New Roman"/>
          <w:b/>
          <w:bCs/>
          <w:sz w:val="30"/>
          <w:szCs w:val="30"/>
        </w:rPr>
        <w:t>только 1 бюллетень.</w:t>
      </w:r>
    </w:p>
    <w:p w14:paraId="34B80E35" w14:textId="2E47FBC2" w:rsidR="001362A4" w:rsidRPr="007E7C2F" w:rsidRDefault="004C7FD3" w:rsidP="00BF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7C2F">
        <w:rPr>
          <w:rFonts w:ascii="Times New Roman" w:eastAsia="Calibri" w:hAnsi="Times New Roman" w:cs="Times New Roman"/>
          <w:sz w:val="30"/>
          <w:szCs w:val="30"/>
        </w:rPr>
        <w:t>К слову, запрет фото- и видеосъемки заполненного бюллетеня – это не новация Республики Беларусь.</w:t>
      </w:r>
      <w:r w:rsidRPr="007E7C2F">
        <w:rPr>
          <w:rFonts w:ascii="Times New Roman" w:hAnsi="Times New Roman" w:cs="Times New Roman"/>
          <w:sz w:val="30"/>
          <w:szCs w:val="30"/>
        </w:rPr>
        <w:t xml:space="preserve"> Про это в большинстве стран давно не может быть и речи. Например, в Нидерландах — европейской стране с богатейшими традициями, избирательными в том числе, — штрафы для нарушителей составляют от 3 до 780 000 евро. В Бразилии использование мобильных устройств на участке для голосования – преступление, нарушителя привлекут к уголовной ответственности и штрафу 15 000 реалов, а это около 7 400 BYN. Не рекомендуют делать селфи на избирательных участках в Великобритании. За это предусмотрен штраф в 5000 фунтов (около 15 700 BYN) или лишение свободы на срок до шести месяцев</w:t>
      </w:r>
      <w:r w:rsidR="001362A4" w:rsidRPr="007E7C2F">
        <w:rPr>
          <w:rFonts w:ascii="Times New Roman" w:hAnsi="Times New Roman" w:cs="Times New Roman"/>
          <w:sz w:val="30"/>
          <w:szCs w:val="30"/>
        </w:rPr>
        <w:t>.  Канаде закон не разрешает проводить съемку на избирательном участке даже представителям СМИ. Если повезёт, то руководитель участковой избирательной комиссии может разрешить корреспонденту снимать через дверной проем помещения для голосования. В США сфотографировавшим избирательный бюллетень может грозить штраф или даже тюремное заключение. В некоторых случаях голос избирателя, нарушившего запрет, может быть не учтен.</w:t>
      </w:r>
    </w:p>
    <w:p w14:paraId="67E607D7" w14:textId="5BC78013" w:rsidR="001362A4" w:rsidRPr="007E7C2F" w:rsidRDefault="001362A4" w:rsidP="001217F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 сожалению, современный мир не стал добрее и милосерднее, напротив он становится все более разобщенным, агрессивным, а моральные и этические нормы размываются. Избирательный процесс наряду с иными сферами жизнедеятельности человека также подвержен внешним рискам и угрозам. Сегодня мы все чаще наблюдаем, как электоральные кампании используются для подрыва основ стабильности в государстве, становятся объектом вмешательства извне, подвергаются гибридному воздействию.</w:t>
      </w:r>
    </w:p>
    <w:p w14:paraId="4B8B7AA3" w14:textId="0BADCC85" w:rsidR="001362A4" w:rsidRPr="007E7C2F" w:rsidRDefault="001362A4" w:rsidP="007D55E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Учитывая современную обстановку в мире, попытки внешнего вмешательства во внутренние дела Беларуси, в Избирательный кодекс заложены нормы, направленные на обеспечение электорального суверенитета.</w:t>
      </w:r>
    </w:p>
    <w:p w14:paraId="4922E50D" w14:textId="37CAA36A" w:rsidR="001362A4" w:rsidRPr="007E7C2F" w:rsidRDefault="001362A4" w:rsidP="007D55E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Электоральный суверенитет – это новое понятие в проекте Концепции национальной безопасности Республики Беларусь, который сейчас проходит общественное обсуждение.</w:t>
      </w:r>
    </w:p>
    <w:p w14:paraId="7A1F98DF" w14:textId="182224D2" w:rsidR="001362A4" w:rsidRPr="007E7C2F" w:rsidRDefault="001362A4" w:rsidP="007D55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i/>
          <w:iCs/>
          <w:kern w:val="2"/>
          <w:sz w:val="30"/>
          <w:szCs w:val="30"/>
          <w14:ligatures w14:val="standardContextual"/>
        </w:rPr>
        <w:t>Электоральный суверенитет –</w:t>
      </w:r>
      <w:r w:rsidRPr="007E7C2F">
        <w:rPr>
          <w:rFonts w:ascii="Times New Roman" w:eastAsia="Calibri" w:hAnsi="Times New Roman" w:cs="Times New Roman"/>
          <w:i/>
          <w:iCs/>
          <w:kern w:val="2"/>
          <w:sz w:val="30"/>
          <w:szCs w:val="30"/>
          <w14:ligatures w14:val="standardContextual"/>
        </w:rPr>
        <w:t xml:space="preserve"> неотъемлемое </w:t>
      </w:r>
      <w:r w:rsidRPr="007E7C2F">
        <w:rPr>
          <w:rFonts w:ascii="Times New Roman" w:eastAsia="Calibri" w:hAnsi="Times New Roman" w:cs="Times New Roman"/>
          <w:i/>
          <w:iCs/>
          <w:kern w:val="2"/>
          <w:sz w:val="30"/>
          <w:szCs w:val="30"/>
          <w14:ligatures w14:val="standardContextual"/>
        </w:rPr>
        <w:br/>
        <w:t>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Республики Беларусь и национального законодательства, недопущения вмешательства в избирательный процесс.</w:t>
      </w:r>
    </w:p>
    <w:p w14:paraId="225416BB" w14:textId="7585C450" w:rsidR="001362A4" w:rsidRPr="007E7C2F" w:rsidRDefault="00511947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7C2F">
        <w:rPr>
          <w:rFonts w:ascii="Times New Roman" w:hAnsi="Times New Roman" w:cs="Times New Roman"/>
          <w:sz w:val="30"/>
          <w:szCs w:val="30"/>
        </w:rPr>
        <w:t>К слову, в</w:t>
      </w:r>
      <w:r w:rsidR="001362A4" w:rsidRPr="007E7C2F">
        <w:rPr>
          <w:rFonts w:ascii="Times New Roman" w:hAnsi="Times New Roman" w:cs="Times New Roman"/>
          <w:sz w:val="30"/>
          <w:szCs w:val="30"/>
        </w:rPr>
        <w:t xml:space="preserve">мешательство во внутренние дела суверенных государств категорически запрещенным Уставом </w:t>
      </w:r>
      <w:r w:rsidRPr="007E7C2F">
        <w:rPr>
          <w:rFonts w:ascii="Times New Roman" w:hAnsi="Times New Roman" w:cs="Times New Roman"/>
          <w:sz w:val="30"/>
          <w:szCs w:val="30"/>
        </w:rPr>
        <w:t>ООН и</w:t>
      </w:r>
      <w:r w:rsidR="001362A4" w:rsidRPr="007E7C2F">
        <w:rPr>
          <w:rFonts w:ascii="Times New Roman" w:hAnsi="Times New Roman" w:cs="Times New Roman"/>
          <w:sz w:val="30"/>
          <w:szCs w:val="30"/>
        </w:rPr>
        <w:t xml:space="preserve"> целой серией резолюций Ген</w:t>
      </w:r>
      <w:r w:rsidRPr="007E7C2F">
        <w:rPr>
          <w:rFonts w:ascii="Times New Roman" w:hAnsi="Times New Roman" w:cs="Times New Roman"/>
          <w:sz w:val="30"/>
          <w:szCs w:val="30"/>
        </w:rPr>
        <w:t>еральной Ассамблеи</w:t>
      </w:r>
      <w:r w:rsidR="001362A4" w:rsidRPr="007E7C2F">
        <w:rPr>
          <w:rFonts w:ascii="Times New Roman" w:hAnsi="Times New Roman" w:cs="Times New Roman"/>
          <w:sz w:val="30"/>
          <w:szCs w:val="30"/>
        </w:rPr>
        <w:t xml:space="preserve"> Объединенных Наций.</w:t>
      </w:r>
    </w:p>
    <w:p w14:paraId="0CC3CC32" w14:textId="08BE0F06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избирательном законодательстве Республики Беларусь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закреплен запрет каких-либо иностранных пожертвований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в том числе от иностранных физических и юридических лиц, кандидатам. </w:t>
      </w:r>
    </w:p>
    <w:p w14:paraId="51954C29" w14:textId="77777777" w:rsidR="00511947" w:rsidRPr="007E7C2F" w:rsidRDefault="00511947" w:rsidP="007D55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При проведении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агитационной деятельности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br/>
        <w:t>не допускаются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призывы к насильственному свержению власти, насильственному изменению конституционного строя и нарушению территориальной целостности государства, призывы, направленные на пропаганду войны, террористических, любых иных насильственных действий и возбуждающие социальную, расовую, национальную, этническую, религиозную ненависть и вражду. </w:t>
      </w:r>
    </w:p>
    <w:p w14:paraId="6797AD9D" w14:textId="77777777" w:rsidR="00511947" w:rsidRPr="007E7C2F" w:rsidRDefault="00511947" w:rsidP="007D55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Также запрещается агитация, побуждающая к срыву, отмене или переносу сроков выборов, референдумов.</w:t>
      </w:r>
    </w:p>
    <w:p w14:paraId="40EC4F61" w14:textId="77777777" w:rsidR="00511947" w:rsidRPr="007E7C2F" w:rsidRDefault="00511947" w:rsidP="007D55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Иностранные граждане и лица без гражданства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  <w:t xml:space="preserve">не вправе принимать участие в агитации на выборах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  <w:t>и референдумах.</w:t>
      </w:r>
    </w:p>
    <w:p w14:paraId="44AE12EE" w14:textId="11E6AFCD" w:rsidR="00511947" w:rsidRPr="007E7C2F" w:rsidRDefault="00511947" w:rsidP="007D55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Запрещается агитация за кандидатов в Президенты, в депутаты, оплачиваемая из средств избирательных фондов других кандидатов.</w:t>
      </w:r>
    </w:p>
    <w:p w14:paraId="59F3162D" w14:textId="5DA699DB" w:rsidR="00511947" w:rsidRPr="007E7C2F" w:rsidRDefault="00511947" w:rsidP="007D55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</w:p>
    <w:p w14:paraId="7AEF0478" w14:textId="05E6FB5D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Закреплен конституционный статус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у Высшего представительного органа народовластия –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Всебелорусского народного собрания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которое будет определять стратегические направления развития общества и государства, обеспечивать незыблемость конституционного строя, преемственность поколений и гражданское согласие. </w:t>
      </w:r>
    </w:p>
    <w:p w14:paraId="3E8B750B" w14:textId="77777777" w:rsidR="00511947" w:rsidRPr="007E7C2F" w:rsidRDefault="00511947" w:rsidP="007D5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ВНС будет вправе принять решение о смещении Президента с должности в случае систематического или грубого нарушения Конституции, совершения государственной измены, иного тяжкого преступления. </w:t>
      </w:r>
    </w:p>
    <w:p w14:paraId="6F50C443" w14:textId="3FF7AB4F" w:rsidR="00511947" w:rsidRPr="007D55E0" w:rsidRDefault="00511947" w:rsidP="007D5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ВНС сможет ввести чрезвычайное или военное положение при наличии определенных оснований, предусмотренных Конституцией, и в случае бездействия Президента по этим вопросам.</w:t>
      </w:r>
    </w:p>
    <w:p w14:paraId="088622AC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Кодексе регламентированы процедуры признания выборов Президента, членов Совета Республики, депутатов Палаты представителей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неконституционными или нелегитимными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. Право на инициирование таких вопросов будет принадлежать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Президиуму ВНС.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</w:p>
    <w:p w14:paraId="77138DDC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Конституционный Суд уполномочен рассматривать вопрос о конституционности выборов, Всебелорусское народное собрание – о легитимности выборов.  </w:t>
      </w:r>
    </w:p>
    <w:p w14:paraId="45CE478E" w14:textId="4B4E301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случае признания выборов неконституционными или нелегитимными, ЦИК признает прошедшие выборы недействительными и назначает повторные выборы.</w:t>
      </w:r>
    </w:p>
    <w:p w14:paraId="027820BA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Увеличен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для кандидатов на должность Президента</w:t>
      </w:r>
    </w:p>
    <w:p w14:paraId="558C34FE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до 40 лет возрастной ценз</w:t>
      </w:r>
    </w:p>
    <w:p w14:paraId="7ED9E1AB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до 20 лет – ценз оседлости </w:t>
      </w:r>
    </w:p>
    <w:p w14:paraId="07B35576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запрет на наличие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(не имеющий и не имевший ранее) гражданства иностранного государства или вида на жительство или иного документа иностранного государства, дающего право на льготы и другие преимущества.</w:t>
      </w:r>
    </w:p>
    <w:p w14:paraId="76B1E577" w14:textId="77777777" w:rsidR="00511947" w:rsidRPr="007E7C2F" w:rsidRDefault="00511947" w:rsidP="0051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В случае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вакансии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должности Президента или невозможности исполнения им своих обязанностей по основаниям, предусмотренным Конституцией, его полномочия до принесения Присяги вновь избранным Президентом переходят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к Председателю Совета Республики.</w:t>
      </w:r>
    </w:p>
    <w:p w14:paraId="21BD0097" w14:textId="77777777" w:rsidR="00511947" w:rsidRPr="007E7C2F" w:rsidRDefault="00511947" w:rsidP="0051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В случае гибели Президента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в результате покушения на его жизнь, совершения акта терроризма, военной агрессии, вследствие иных действий насильственного характера:</w:t>
      </w:r>
    </w:p>
    <w:p w14:paraId="3F5E296D" w14:textId="23BF7257" w:rsidR="00511947" w:rsidRPr="007E7C2F" w:rsidRDefault="00511947" w:rsidP="00375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заседания Совета Безопасности проводятся под руководством Председателя Совета Республики;</w:t>
      </w:r>
    </w:p>
    <w:p w14:paraId="1A680DD8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положение;</w:t>
      </w:r>
    </w:p>
    <w:p w14:paraId="24E7E9BE" w14:textId="77777777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государственные органы и должностные лица действуют в соответствии с решениями Совета Безопасности.</w:t>
      </w:r>
    </w:p>
    <w:p w14:paraId="5FA5F997" w14:textId="19BE66BF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Аналогично установленным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Конституцией требованиям к кандидатам в Президенты установлен запрет выдвигать на выборные должности лиц, у которых имеется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гражданство (подданство) иностранного государства, иной документ,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предоставляющий права на льготы и преимущества в связи с политическими, религиозными 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lastRenderedPageBreak/>
        <w:t>взглядами или национальной принадлежностью (делегаты ВНС, члены Совета Республики, депутаты).</w:t>
      </w:r>
    </w:p>
    <w:p w14:paraId="7D64F95B" w14:textId="63B27ECB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Кроме того, кандидатами в Президенты Республики Беларусь, в депутаты Палаты представителей, члены Совета Республики не могут быть выдвинуты граждане, в отношении которых имеется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вступивший в законную силу обвинительный приговор суда. </w:t>
      </w:r>
    </w:p>
    <w:p w14:paraId="3054859A" w14:textId="51B72728" w:rsidR="00511947" w:rsidRPr="007E7C2F" w:rsidRDefault="00511947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Кандидатами в депутаты местных Советов депутатов не могут быть выдвинуты граждане, </w:t>
      </w:r>
      <w:r w:rsidRPr="007D55E0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имеющие неснятую или непогашенную судимость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60BF8D82" w14:textId="77777777" w:rsidR="00511947" w:rsidRPr="007E7C2F" w:rsidRDefault="00511947" w:rsidP="0051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Учитывая поступавшие в ходе электоральных кампаний угрозы в адрес членов избирательных комиссий в печатных средствах массовой информации, будут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публиковаться сообщения об образовании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территориальных и участковых комиссий без указания персональных данных их членов. Такие сообщения будут содержать количественный состав комиссии, способ выдвижения и контактные данные комиссии (адрес и номер телефона).  </w:t>
      </w:r>
    </w:p>
    <w:p w14:paraId="48B0D5C8" w14:textId="2E04911E" w:rsidR="007D55E0" w:rsidRPr="007D55E0" w:rsidRDefault="00511947" w:rsidP="00121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Не будут образовываться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участки для голосования за рубежом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  <w:r w:rsidR="007D55E0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Pr="007D55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Введение этой нормы учитывает целый комплекс проблем.</w:t>
      </w:r>
    </w:p>
    <w:p w14:paraId="5D3C0C95" w14:textId="77777777" w:rsidR="007D55E0" w:rsidRPr="007D55E0" w:rsidRDefault="00511947" w:rsidP="00121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1217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Первое.</w:t>
      </w:r>
      <w:r w:rsidRPr="007D55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Не во всех странах, где живут и работаю белорусы есть наши дипломатические представительства. Даже в России участки для голосования создавались в трех крупных городах — Москве, Санкт-Петербурге и Калининграде, несмотря на ее огромную территорию. В ряде западных стран, по их же инициативе, была сокращена численность дипломатических работников, что не позволяет попросту организовать работу избирательной комиссии.</w:t>
      </w:r>
    </w:p>
    <w:p w14:paraId="460BBB53" w14:textId="77777777" w:rsidR="007D55E0" w:rsidRPr="007D55E0" w:rsidRDefault="00511947" w:rsidP="001217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1217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Второе.</w:t>
      </w:r>
      <w:r w:rsidRPr="007D55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Вопросы эпидемиологической обстановки и безопасности. Опять же в ряде западных стран созданы условия невозможности обеспечения безопасности избирательного процесса. К примеру, до сих пор не проведено расследование по факту избиения белорусского дипломата в нашем посольстве в Лондоне. Дипломаты подвергаются угрозам, устраиваются потасовки и провокации возле белорусских дипломатических представительств. А где гарантии, что во время голосования наши западные партнеры или беглые не устроят какую-нибудь провокацию на избирательном участке или хуже того подожгут избирательный участок или изобью работников дипломатической миссии, организующий процесс голосования</w:t>
      </w:r>
      <w:r w:rsidR="007D55E0" w:rsidRPr="007D55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14:paraId="21943EFB" w14:textId="62327DAA" w:rsidR="00511947" w:rsidRPr="007D55E0" w:rsidRDefault="00511947" w:rsidP="00121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30"/>
          <w:szCs w:val="30"/>
          <w14:ligatures w14:val="standardContextual"/>
        </w:rPr>
      </w:pPr>
      <w:r w:rsidRPr="001217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Третье.</w:t>
      </w:r>
      <w:r w:rsidRPr="007D55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Небольшое количество граждан, голосующих за рубежом.</w:t>
      </w:r>
    </w:p>
    <w:p w14:paraId="45C91F24" w14:textId="77777777" w:rsidR="007D55E0" w:rsidRPr="007D55E0" w:rsidRDefault="00511947" w:rsidP="005119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7D55E0">
        <w:rPr>
          <w:bCs/>
          <w:color w:val="000000" w:themeColor="text1"/>
          <w:sz w:val="30"/>
          <w:szCs w:val="30"/>
        </w:rPr>
        <w:t xml:space="preserve">К примеру, на выборах Президента Республики Беларусь в 2020 году за рубежом проголосовали всего 0,3 % от всего списочного состава. Явка на выборах в среднем составляет 75 %. </w:t>
      </w:r>
    </w:p>
    <w:p w14:paraId="3E732576" w14:textId="58B58890" w:rsidR="00375317" w:rsidRPr="007D55E0" w:rsidRDefault="00511947" w:rsidP="00375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7D55E0">
        <w:rPr>
          <w:bCs/>
          <w:color w:val="000000" w:themeColor="text1"/>
          <w:sz w:val="30"/>
          <w:szCs w:val="30"/>
        </w:rPr>
        <w:t xml:space="preserve">Подытоживая все, ЦИК Беларуси подчеркивает главное – никто не запретил гражданам Беларуси, постоянно проживающим за рубежом, </w:t>
      </w:r>
      <w:r w:rsidRPr="007D55E0">
        <w:rPr>
          <w:bCs/>
          <w:color w:val="000000" w:themeColor="text1"/>
          <w:sz w:val="30"/>
          <w:szCs w:val="30"/>
        </w:rPr>
        <w:lastRenderedPageBreak/>
        <w:t>принимать участие в проводимых выборах и референдумах. Для этого в Беларуси на выборах и референдумах есть досрочное голосование. Для всех, кто сегодня живет за границей – выборы и референдумы в нашей стране – это хорошая возможность совместить приятное с полезным. За одну поездку на Родину и в делах государства принять участие и дома побывать.</w:t>
      </w:r>
      <w:r w:rsidR="00375317">
        <w:rPr>
          <w:bCs/>
          <w:color w:val="000000" w:themeColor="text1"/>
          <w:sz w:val="30"/>
          <w:szCs w:val="30"/>
        </w:rPr>
        <w:t xml:space="preserve"> К слову,</w:t>
      </w:r>
      <w:r w:rsidR="00375317" w:rsidRPr="00375317">
        <w:rPr>
          <w:bCs/>
          <w:color w:val="000000" w:themeColor="text1"/>
          <w:sz w:val="30"/>
          <w:szCs w:val="30"/>
        </w:rPr>
        <w:t xml:space="preserve"> </w:t>
      </w:r>
      <w:r w:rsidR="00375317">
        <w:rPr>
          <w:bCs/>
          <w:color w:val="000000" w:themeColor="text1"/>
          <w:sz w:val="30"/>
          <w:szCs w:val="30"/>
        </w:rPr>
        <w:t>т</w:t>
      </w:r>
      <w:r w:rsidR="00375317" w:rsidRPr="00375317">
        <w:rPr>
          <w:bCs/>
          <w:color w:val="000000" w:themeColor="text1"/>
          <w:sz w:val="30"/>
          <w:szCs w:val="30"/>
        </w:rPr>
        <w:t>акие граждане смогут проголосовать на одном из участков, расположенных в г. Минске. По данному вопросу будет отдельное постановление ЦИК.</w:t>
      </w:r>
    </w:p>
    <w:p w14:paraId="6643F5C4" w14:textId="476442B5" w:rsidR="007E7C2F" w:rsidRPr="007E7C2F" w:rsidRDefault="007E7C2F" w:rsidP="007E7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Что касается международных (иностранных) наблюдателей, то правом приглашать данную категорию обладают Президент Республики Беларусь, Правительство, Национальное собрание Республики Беларусь, Министерство иностранных дел, ЦИК Беларуси.</w:t>
      </w:r>
    </w:p>
    <w:p w14:paraId="2789498B" w14:textId="0EED793E" w:rsidR="007E7C2F" w:rsidRPr="007E7C2F" w:rsidRDefault="007E7C2F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Беларусь всегда была открыта для международного наблюдения. Вместе с тем, необходимо знать, что Республика Беларусь является участником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Конвенции о стандартах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демократически выборов, избирательных прав и свобод в государствах-участниках СНГ</w:t>
      </w: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 Благодаря принятию уже более 20 лет назад Конвенции в государствах – участниках СНГ успешно развивается законотворческая деятельность и совершенствуется правоприменительная практика в области избирательного процесса на постсоветском пространстве.</w:t>
      </w:r>
    </w:p>
    <w:p w14:paraId="58D72EB0" w14:textId="21B6834C" w:rsidR="007E7C2F" w:rsidRPr="007E7C2F" w:rsidRDefault="001217FD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У</w:t>
      </w:r>
      <w:r w:rsidR="007E7C2F"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="007E7C2F" w:rsidRPr="007E7C2F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>ОБСЕ не принят единый документ</w:t>
      </w:r>
      <w:r w:rsidR="007E7C2F"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, ратифицированный в установленном порядке государствами-членами, устанавливающий единые стандарты выборов. БДИПЧ ОБСЕ при оценке выборов руководствуется исключительно методическими рекомендациями, которые в каждой стране применяются по-разному.</w:t>
      </w:r>
    </w:p>
    <w:p w14:paraId="1EB37851" w14:textId="71D7AC49" w:rsidR="007D55E0" w:rsidRPr="001217FD" w:rsidRDefault="007E7C2F" w:rsidP="00121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E7C2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Организация, которая должна была стать фундаментом новой общеевропейской системы коллективной безопасности, неизменно фокусируется исключительно на постсоветском пространстве, в то время как страны Запада почти никогда не становятся объектом внимания организации. Свои отчеты относительно выборов в Беларуси в течение двух последних десятилетий организация излагает в политизированных негативных тонах. Отсюда и двойные стандарты в наблюдении за электоральными кампаниями.</w:t>
      </w:r>
    </w:p>
    <w:p w14:paraId="79D504CB" w14:textId="79943C4B" w:rsidR="007D55E0" w:rsidRDefault="007D55E0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55E0">
        <w:rPr>
          <w:rFonts w:ascii="Times New Roman" w:hAnsi="Times New Roman" w:cs="Times New Roman"/>
          <w:sz w:val="30"/>
          <w:szCs w:val="30"/>
        </w:rPr>
        <w:t xml:space="preserve">Если говорить </w:t>
      </w:r>
      <w:r w:rsidRPr="007D55E0">
        <w:rPr>
          <w:rFonts w:ascii="Times New Roman" w:hAnsi="Times New Roman" w:cs="Times New Roman"/>
          <w:b/>
          <w:bCs/>
          <w:sz w:val="30"/>
          <w:szCs w:val="30"/>
        </w:rPr>
        <w:t>о цифровизации избирательного процесса</w:t>
      </w:r>
      <w:r w:rsidRPr="007D55E0">
        <w:rPr>
          <w:rFonts w:ascii="Times New Roman" w:hAnsi="Times New Roman" w:cs="Times New Roman"/>
          <w:sz w:val="30"/>
          <w:szCs w:val="30"/>
        </w:rPr>
        <w:t>, то ЦИК Беларуси наблюдает, что в разных странах он идет по-разному.  Беларусь, конечно, изучает международный опыт и не остается в стороне. Притом, что избирательная кампания 2024 года будет проходить в традиционном формате, ЦИК Беларуси по этому вопросу уделяет определенное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D55E0">
        <w:rPr>
          <w:rFonts w:ascii="Times New Roman" w:hAnsi="Times New Roman" w:cs="Times New Roman"/>
          <w:sz w:val="30"/>
          <w:szCs w:val="30"/>
        </w:rPr>
        <w:t>Сейчас создана рабочая группа, которая разрабатывает Концепцию цифровизации избирательного процесса.</w:t>
      </w:r>
    </w:p>
    <w:p w14:paraId="46DA0E9E" w14:textId="366FA987" w:rsidR="00375317" w:rsidRDefault="00375317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F3EA443" w14:textId="77777777" w:rsidR="00375317" w:rsidRPr="00375317" w:rsidRDefault="00375317" w:rsidP="003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5317">
        <w:rPr>
          <w:rFonts w:ascii="Times New Roman" w:hAnsi="Times New Roman" w:cs="Times New Roman"/>
          <w:sz w:val="30"/>
          <w:szCs w:val="30"/>
        </w:rPr>
        <w:lastRenderedPageBreak/>
        <w:t>В Избирательном кодексе закреплена новая функция ЦИК по осуществлению информационного-просветительской деятельности по вопросам реализации избирательных прав граждан во взаимодействии с другими государственными органами и иными организациями.</w:t>
      </w:r>
    </w:p>
    <w:p w14:paraId="74C7699F" w14:textId="35FA289A" w:rsidR="00375317" w:rsidRDefault="00375317" w:rsidP="003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75317">
        <w:rPr>
          <w:rFonts w:ascii="Times New Roman" w:hAnsi="Times New Roman" w:cs="Times New Roman"/>
          <w:sz w:val="30"/>
          <w:szCs w:val="30"/>
        </w:rPr>
        <w:t>Такая работа ЦИК уже проводится посредством диалоговых площадок по разъяснению новаций избирательного законодательства как в трудовых коллективах, так и среди учащейся и студенческой молодежи.</w:t>
      </w:r>
    </w:p>
    <w:p w14:paraId="7E36DF67" w14:textId="1A255DDF" w:rsidR="00AB2832" w:rsidRDefault="00AB2832" w:rsidP="00AB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Примером служит и создание Молодежного совета при ЦИК Беларуси. В состав которого вошли 19 человек. </w:t>
      </w:r>
      <w:bookmarkStart w:id="0" w:name="_GoBack"/>
      <w:bookmarkEnd w:id="0"/>
    </w:p>
    <w:p w14:paraId="72C43D5F" w14:textId="776567C5" w:rsidR="00BF7C76" w:rsidRDefault="00BF7C76" w:rsidP="003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узнать об избирательной системе Беларуси достаточно просто. ЦИК н</w:t>
      </w:r>
      <w:r w:rsidRPr="00BF7C76">
        <w:rPr>
          <w:rFonts w:ascii="Times New Roman" w:hAnsi="Times New Roman" w:cs="Times New Roman"/>
          <w:sz w:val="30"/>
          <w:szCs w:val="30"/>
        </w:rPr>
        <w:t>алажена системная работа по информированию граждан в социальных сетях. По мере приближения единого дня голосования наблюдается рост числа подписчиков на официальные каналы ЦИК. Осуществляется тесное взаимодействие с традиционными средствами массовой информации.</w:t>
      </w:r>
    </w:p>
    <w:p w14:paraId="709B0970" w14:textId="77777777" w:rsidR="00BF7C76" w:rsidRDefault="00BF7C76" w:rsidP="003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CDEDF59" w14:textId="4D2B4048" w:rsidR="00C51786" w:rsidRDefault="00C51786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F4DFA07" w14:textId="67C5DA87" w:rsidR="00C51786" w:rsidRDefault="001217FD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Дорогие друзья!</w:t>
      </w:r>
      <w:r w:rsidR="00C51786">
        <w:rPr>
          <w:rFonts w:ascii="Times New Roman" w:hAnsi="Times New Roman" w:cs="Times New Roman"/>
          <w:sz w:val="30"/>
          <w:szCs w:val="30"/>
        </w:rPr>
        <w:t xml:space="preserve"> избирательное законодательство Республики Беларусь сфокусировано исключительно на отстаивании национальных интересов, безопасности избирательно процесса, и создания условий для полноправного участия граждан в определении будущего своей страны. На выборах депутатов в единый день голосования важен голос каждого! Ведь от </w:t>
      </w:r>
      <w:r>
        <w:rPr>
          <w:rFonts w:ascii="Times New Roman" w:hAnsi="Times New Roman" w:cs="Times New Roman"/>
          <w:sz w:val="30"/>
          <w:szCs w:val="30"/>
        </w:rPr>
        <w:t>нашего голоса</w:t>
      </w:r>
      <w:r w:rsidR="00C51786">
        <w:rPr>
          <w:rFonts w:ascii="Times New Roman" w:hAnsi="Times New Roman" w:cs="Times New Roman"/>
          <w:sz w:val="30"/>
          <w:szCs w:val="30"/>
        </w:rPr>
        <w:t xml:space="preserve"> зависит как будет развиваться наша страна, как в ней будем жить мы, 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C51786">
        <w:rPr>
          <w:rFonts w:ascii="Times New Roman" w:hAnsi="Times New Roman" w:cs="Times New Roman"/>
          <w:sz w:val="30"/>
          <w:szCs w:val="30"/>
        </w:rPr>
        <w:t>будут жить наши близкие</w:t>
      </w:r>
      <w:r>
        <w:rPr>
          <w:rFonts w:ascii="Times New Roman" w:hAnsi="Times New Roman" w:cs="Times New Roman"/>
          <w:sz w:val="30"/>
          <w:szCs w:val="30"/>
        </w:rPr>
        <w:t xml:space="preserve"> и наши дети.</w:t>
      </w:r>
    </w:p>
    <w:p w14:paraId="543962CF" w14:textId="38907212" w:rsidR="001217FD" w:rsidRDefault="001217FD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874F256" w14:textId="77777777" w:rsidR="001217FD" w:rsidRDefault="001217FD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D59FACF" w14:textId="77777777" w:rsidR="007D55E0" w:rsidRDefault="007D55E0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0C0463A" w14:textId="77777777" w:rsidR="007D55E0" w:rsidRPr="007D55E0" w:rsidRDefault="007D55E0" w:rsidP="007D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8F0A691" w14:textId="77777777" w:rsidR="007D55E0" w:rsidRPr="007D55E0" w:rsidRDefault="007D55E0" w:rsidP="007D5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</w:p>
    <w:p w14:paraId="79DD9280" w14:textId="77777777" w:rsidR="00511947" w:rsidRDefault="00511947" w:rsidP="007E7C2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5B695AC5" w14:textId="77777777" w:rsidR="00511947" w:rsidRDefault="00511947" w:rsidP="00511947">
      <w:pPr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66795F4A" w14:textId="77777777" w:rsidR="00511947" w:rsidRDefault="00511947" w:rsidP="00511947">
      <w:pPr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46CA2179" w14:textId="77777777" w:rsidR="00511947" w:rsidRDefault="00511947" w:rsidP="00511947">
      <w:pPr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7E530289" w14:textId="77777777" w:rsidR="00511947" w:rsidRDefault="00511947" w:rsidP="0051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27C93743" w14:textId="77777777" w:rsidR="00511947" w:rsidRDefault="00511947" w:rsidP="001362A4">
      <w:pPr>
        <w:spacing w:after="0" w:line="48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68A6E4" w14:textId="77777777" w:rsidR="00511947" w:rsidRPr="00612518" w:rsidRDefault="00511947" w:rsidP="001362A4">
      <w:pPr>
        <w:spacing w:after="0" w:line="480" w:lineRule="atLeast"/>
        <w:ind w:firstLine="708"/>
        <w:jc w:val="both"/>
        <w:rPr>
          <w:rFonts w:ascii="Times New Roman" w:eastAsia="Calibri" w:hAnsi="Times New Roman" w:cs="Times New Roman"/>
          <w:i/>
          <w:iCs/>
          <w:kern w:val="2"/>
          <w:sz w:val="42"/>
          <w:szCs w:val="42"/>
          <w14:ligatures w14:val="standardContextual"/>
        </w:rPr>
      </w:pPr>
    </w:p>
    <w:p w14:paraId="73EBF511" w14:textId="77777777" w:rsidR="001362A4" w:rsidRDefault="001362A4" w:rsidP="001362A4">
      <w:pPr>
        <w:spacing w:after="0" w:line="480" w:lineRule="atLeast"/>
        <w:ind w:firstLine="710"/>
        <w:jc w:val="both"/>
        <w:rPr>
          <w:rFonts w:ascii="Times New Roman" w:eastAsia="Calibri" w:hAnsi="Times New Roman" w:cs="Times New Roman"/>
          <w:kern w:val="2"/>
          <w:sz w:val="42"/>
          <w:szCs w:val="42"/>
          <w14:ligatures w14:val="standardContextual"/>
        </w:rPr>
      </w:pPr>
    </w:p>
    <w:p w14:paraId="410164A8" w14:textId="77777777" w:rsidR="001362A4" w:rsidRPr="002F524F" w:rsidRDefault="001362A4" w:rsidP="001362A4">
      <w:pPr>
        <w:spacing w:after="0" w:line="480" w:lineRule="atLeast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0BCE33FE" w14:textId="77777777" w:rsidR="001362A4" w:rsidRDefault="001362A4" w:rsidP="001362A4">
      <w:pPr>
        <w:spacing w:after="0" w:line="480" w:lineRule="atLeast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7EF968E6" w14:textId="77777777" w:rsidR="001362A4" w:rsidRPr="002F524F" w:rsidRDefault="001362A4" w:rsidP="001362A4">
      <w:pPr>
        <w:spacing w:after="0" w:line="480" w:lineRule="atLeast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41787B5B" w14:textId="77777777" w:rsidR="001362A4" w:rsidRPr="001362A4" w:rsidRDefault="001362A4" w:rsidP="001362A4">
      <w:pPr>
        <w:spacing w:after="0" w:line="48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A0F594" w14:textId="77777777" w:rsidR="004C7FD3" w:rsidRPr="001362A4" w:rsidRDefault="004C7FD3" w:rsidP="004C7FD3">
      <w:pPr>
        <w:spacing w:after="0" w:line="480" w:lineRule="atLeas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3382570" w14:textId="77777777" w:rsidR="000601DC" w:rsidRPr="001362A4" w:rsidRDefault="000601DC" w:rsidP="001217F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14:paraId="77811265" w14:textId="77777777" w:rsidR="000601DC" w:rsidRPr="001362A4" w:rsidRDefault="000601DC" w:rsidP="00C649C5">
      <w:pPr>
        <w:pStyle w:val="newncpi"/>
        <w:ind w:firstLine="709"/>
        <w:rPr>
          <w:sz w:val="30"/>
          <w:szCs w:val="30"/>
          <w:lang w:val="ru-BY"/>
        </w:rPr>
      </w:pPr>
    </w:p>
    <w:p w14:paraId="02B9580F" w14:textId="77777777" w:rsidR="00C649C5" w:rsidRPr="001362A4" w:rsidRDefault="00C649C5" w:rsidP="00317C7C">
      <w:pPr>
        <w:pStyle w:val="newncpi"/>
        <w:ind w:firstLine="709"/>
        <w:rPr>
          <w:sz w:val="30"/>
          <w:szCs w:val="30"/>
        </w:rPr>
      </w:pPr>
    </w:p>
    <w:p w14:paraId="50CA9D61" w14:textId="77777777" w:rsidR="00317C7C" w:rsidRPr="001362A4" w:rsidRDefault="00317C7C" w:rsidP="00BB5BDD">
      <w:pPr>
        <w:pStyle w:val="newncpi"/>
        <w:ind w:firstLine="709"/>
        <w:rPr>
          <w:sz w:val="30"/>
          <w:szCs w:val="30"/>
        </w:rPr>
      </w:pPr>
    </w:p>
    <w:p w14:paraId="39FAEBAA" w14:textId="77777777" w:rsidR="00BB5BDD" w:rsidRPr="001362A4" w:rsidRDefault="00BB5BDD" w:rsidP="00922F5D">
      <w:pPr>
        <w:pStyle w:val="newncpi"/>
        <w:ind w:firstLine="709"/>
        <w:rPr>
          <w:sz w:val="30"/>
          <w:szCs w:val="30"/>
        </w:rPr>
      </w:pPr>
    </w:p>
    <w:p w14:paraId="280CA4ED" w14:textId="77777777" w:rsidR="00922F5D" w:rsidRPr="001362A4" w:rsidRDefault="00922F5D" w:rsidP="00922F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082DC5D" w14:textId="77777777" w:rsidR="00922F5D" w:rsidRPr="001362A4" w:rsidRDefault="00922F5D" w:rsidP="005D29F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9975C3D" w14:textId="4AAB84CA" w:rsidR="005D29F7" w:rsidRPr="001362A4" w:rsidRDefault="005D29F7" w:rsidP="005D29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D29F7" w:rsidRPr="001362A4" w:rsidSect="001217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31A56" w14:textId="77777777" w:rsidR="002154CB" w:rsidRDefault="002154CB" w:rsidP="001217FD">
      <w:pPr>
        <w:spacing w:after="0" w:line="240" w:lineRule="auto"/>
      </w:pPr>
      <w:r>
        <w:separator/>
      </w:r>
    </w:p>
  </w:endnote>
  <w:endnote w:type="continuationSeparator" w:id="0">
    <w:p w14:paraId="69906F16" w14:textId="77777777" w:rsidR="002154CB" w:rsidRDefault="002154CB" w:rsidP="001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2B953" w14:textId="77777777" w:rsidR="002154CB" w:rsidRDefault="002154CB" w:rsidP="001217FD">
      <w:pPr>
        <w:spacing w:after="0" w:line="240" w:lineRule="auto"/>
      </w:pPr>
      <w:r>
        <w:separator/>
      </w:r>
    </w:p>
  </w:footnote>
  <w:footnote w:type="continuationSeparator" w:id="0">
    <w:p w14:paraId="7C7AEE5A" w14:textId="77777777" w:rsidR="002154CB" w:rsidRDefault="002154CB" w:rsidP="0012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9416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CC2F48F" w14:textId="29FFF158" w:rsidR="001217FD" w:rsidRPr="001217FD" w:rsidRDefault="001217F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217F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217F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217F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1217FD">
          <w:rPr>
            <w:rFonts w:ascii="Times New Roman" w:hAnsi="Times New Roman" w:cs="Times New Roman"/>
            <w:sz w:val="30"/>
            <w:szCs w:val="30"/>
          </w:rPr>
          <w:t>2</w:t>
        </w:r>
        <w:r w:rsidRPr="001217F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B5B7335" w14:textId="77777777" w:rsidR="001217FD" w:rsidRDefault="001217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22B37"/>
    <w:multiLevelType w:val="hybridMultilevel"/>
    <w:tmpl w:val="0FDCB4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9"/>
    <w:rsid w:val="000601DC"/>
    <w:rsid w:val="000F46BF"/>
    <w:rsid w:val="001217FD"/>
    <w:rsid w:val="001362A4"/>
    <w:rsid w:val="001F75A4"/>
    <w:rsid w:val="002154CB"/>
    <w:rsid w:val="00261649"/>
    <w:rsid w:val="00317C7C"/>
    <w:rsid w:val="00375317"/>
    <w:rsid w:val="004C7FD3"/>
    <w:rsid w:val="00511947"/>
    <w:rsid w:val="005D29F7"/>
    <w:rsid w:val="007D55E0"/>
    <w:rsid w:val="007E7C2F"/>
    <w:rsid w:val="00922F5D"/>
    <w:rsid w:val="00AB2832"/>
    <w:rsid w:val="00BB5BDD"/>
    <w:rsid w:val="00BF7C76"/>
    <w:rsid w:val="00C51786"/>
    <w:rsid w:val="00C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8D9A"/>
  <w15:chartTrackingRefBased/>
  <w15:docId w15:val="{8A0BB1AF-CC5A-429C-92AF-169806F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29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7FD"/>
    <w:rPr>
      <w:lang w:val="ru-RU"/>
    </w:rPr>
  </w:style>
  <w:style w:type="paragraph" w:styleId="a6">
    <w:name w:val="footer"/>
    <w:basedOn w:val="a"/>
    <w:link w:val="a7"/>
    <w:uiPriority w:val="99"/>
    <w:unhideWhenUsed/>
    <w:rsid w:val="0012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7F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2023-10-21T11:30:00Z</dcterms:created>
  <dcterms:modified xsi:type="dcterms:W3CDTF">2023-11-11T10:52:00Z</dcterms:modified>
</cp:coreProperties>
</file>