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E426A1">
      <w:pPr>
        <w:widowControl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E426A1">
      <w:pPr>
        <w:widowControl w:val="0"/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E426A1">
      <w:pPr>
        <w:widowControl w:val="0"/>
        <w:jc w:val="center"/>
      </w:pPr>
    </w:p>
    <w:p w:rsidR="00783F90" w:rsidRPr="00142BF5" w:rsidRDefault="00783F90" w:rsidP="00E426A1">
      <w:pPr>
        <w:widowControl w:val="0"/>
        <w:jc w:val="center"/>
        <w:rPr>
          <w:b/>
          <w:bCs/>
          <w:u w:val="single"/>
        </w:rPr>
      </w:pPr>
      <w:r w:rsidRPr="008D55F4">
        <w:rPr>
          <w:b/>
          <w:bCs/>
        </w:rPr>
        <w:t xml:space="preserve">Направление подготовки </w:t>
      </w:r>
      <w:r w:rsidR="0064354B">
        <w:rPr>
          <w:b/>
          <w:bCs/>
        </w:rPr>
        <w:t>38.04.0</w:t>
      </w:r>
      <w:r w:rsidR="00285149">
        <w:rPr>
          <w:b/>
          <w:bCs/>
        </w:rPr>
        <w:t>8</w:t>
      </w:r>
      <w:r w:rsidR="00E7229B"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285149" w:rsidRPr="00285149">
        <w:rPr>
          <w:b/>
          <w:bCs/>
        </w:rPr>
        <w:t>ФИНАНСЫ И КРЕДИТ</w:t>
      </w:r>
      <w:r w:rsidR="004F1572">
        <w:rPr>
          <w:b/>
          <w:bCs/>
        </w:rPr>
        <w:t>»</w:t>
      </w: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285149" w:rsidRPr="00285149">
        <w:rPr>
          <w:b/>
          <w:bCs/>
        </w:rPr>
        <w:t>Корпоративные финансы в цифровой экономике</w:t>
      </w:r>
      <w:r w:rsidR="004F1572">
        <w:rPr>
          <w:b/>
          <w:bCs/>
        </w:rPr>
        <w:t>»</w:t>
      </w:r>
    </w:p>
    <w:p w:rsidR="004F1572" w:rsidRDefault="004F1572" w:rsidP="00E426A1">
      <w:pPr>
        <w:widowControl w:val="0"/>
        <w:jc w:val="both"/>
        <w:rPr>
          <w:b/>
          <w:bCs/>
        </w:rPr>
      </w:pP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285149">
        <w:rPr>
          <w:b/>
          <w:bCs/>
        </w:rPr>
        <w:t>Финансы и бухгалтерский учет</w:t>
      </w:r>
      <w:r w:rsidR="00142BF5" w:rsidRPr="004F1572">
        <w:rPr>
          <w:b/>
          <w:bCs/>
        </w:rPr>
        <w:t>»</w:t>
      </w:r>
    </w:p>
    <w:p w:rsidR="004F1572" w:rsidRDefault="004F1572" w:rsidP="00E426A1">
      <w:pPr>
        <w:widowControl w:val="0"/>
        <w:jc w:val="center"/>
        <w:rPr>
          <w:b/>
          <w:bCs/>
        </w:rPr>
      </w:pPr>
    </w:p>
    <w:p w:rsidR="00783F90" w:rsidRPr="00142BF5" w:rsidRDefault="00783F90" w:rsidP="00E426A1">
      <w:pPr>
        <w:widowControl w:val="0"/>
        <w:jc w:val="center"/>
        <w:rPr>
          <w:b/>
          <w:u w:val="single"/>
        </w:rPr>
      </w:pPr>
      <w:r w:rsidRPr="00B42525">
        <w:rPr>
          <w:b/>
          <w:bCs/>
        </w:rPr>
        <w:t>Руководитель</w:t>
      </w:r>
      <w:r w:rsidRPr="00B42525">
        <w:t xml:space="preserve"> </w:t>
      </w:r>
      <w:r w:rsidR="004F1572" w:rsidRPr="00B42525">
        <w:rPr>
          <w:b/>
          <w:bCs/>
        </w:rPr>
        <w:t>–</w:t>
      </w:r>
      <w:r w:rsidR="004F1572" w:rsidRPr="00B42525">
        <w:t xml:space="preserve"> </w:t>
      </w:r>
      <w:r w:rsidR="00C60756" w:rsidRPr="00B42525">
        <w:rPr>
          <w:b/>
        </w:rPr>
        <w:t>канд. экон. наук</w:t>
      </w:r>
      <w:r w:rsidR="00142BF5" w:rsidRPr="00B42525">
        <w:rPr>
          <w:b/>
        </w:rPr>
        <w:t xml:space="preserve">, </w:t>
      </w:r>
      <w:r w:rsidR="00C60756" w:rsidRPr="00B42525">
        <w:rPr>
          <w:b/>
        </w:rPr>
        <w:t>доц.</w:t>
      </w:r>
      <w:r w:rsidR="00142BF5" w:rsidRPr="00B42525">
        <w:rPr>
          <w:b/>
        </w:rPr>
        <w:t xml:space="preserve"> </w:t>
      </w:r>
      <w:r w:rsidR="00285149" w:rsidRPr="00B42525">
        <w:rPr>
          <w:b/>
        </w:rPr>
        <w:t>Александрёнок</w:t>
      </w:r>
      <w:r w:rsidR="00C60756" w:rsidRPr="00B42525">
        <w:rPr>
          <w:b/>
        </w:rPr>
        <w:t xml:space="preserve"> </w:t>
      </w:r>
      <w:r w:rsidR="00285149" w:rsidRPr="00B42525">
        <w:rPr>
          <w:b/>
        </w:rPr>
        <w:t>Мария Станиславовна</w:t>
      </w:r>
    </w:p>
    <w:p w:rsidR="00783F90" w:rsidRPr="00913E6B" w:rsidRDefault="00783F90" w:rsidP="00E426A1">
      <w:pPr>
        <w:widowControl w:val="0"/>
        <w:jc w:val="both"/>
      </w:pPr>
    </w:p>
    <w:p w:rsidR="00C91CE7" w:rsidRPr="00B52E99" w:rsidRDefault="00C91CE7" w:rsidP="00E426A1">
      <w:pPr>
        <w:widowControl w:val="0"/>
        <w:ind w:firstLine="709"/>
        <w:jc w:val="both"/>
      </w:pPr>
      <w:r w:rsidRPr="00B52E99"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соответствующему направлению подготовки.</w:t>
      </w:r>
    </w:p>
    <w:p w:rsidR="00783F90" w:rsidRPr="00913E6B" w:rsidRDefault="00783F90" w:rsidP="00E426A1">
      <w:pPr>
        <w:widowControl w:val="0"/>
        <w:ind w:firstLine="709"/>
        <w:jc w:val="both"/>
      </w:pPr>
    </w:p>
    <w:p w:rsidR="00783F90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051CE5" w:rsidRPr="00723226" w:rsidRDefault="00051CE5" w:rsidP="00E426A1">
      <w:pPr>
        <w:widowControl w:val="0"/>
        <w:ind w:firstLine="709"/>
        <w:jc w:val="both"/>
        <w:rPr>
          <w:spacing w:val="-20"/>
          <w:highlight w:val="yellow"/>
        </w:rPr>
      </w:pPr>
      <w:r w:rsidRPr="00A07C69">
        <w:t xml:space="preserve">Целью программы является подготовка </w:t>
      </w:r>
      <w:r w:rsidR="005133D9" w:rsidRPr="00A07C69">
        <w:t>экономистов нового поколения, владеющих</w:t>
      </w:r>
      <w:r w:rsidR="005133D9" w:rsidRPr="005133D9">
        <w:t xml:space="preserve"> глубоки</w:t>
      </w:r>
      <w:r w:rsidR="005133D9">
        <w:t>ми</w:t>
      </w:r>
      <w:r w:rsidR="005133D9" w:rsidRPr="005133D9">
        <w:t xml:space="preserve"> знани</w:t>
      </w:r>
      <w:r w:rsidR="005133D9">
        <w:t>ями</w:t>
      </w:r>
      <w:r w:rsidR="005133D9" w:rsidRPr="005133D9">
        <w:t xml:space="preserve"> в области управления корпоративными финансами, навыками информационной поддержки инвестиционных и финансовых решений, технологи</w:t>
      </w:r>
      <w:r w:rsidR="00A07C69">
        <w:t>ями</w:t>
      </w:r>
      <w:r w:rsidR="005133D9" w:rsidRPr="005133D9">
        <w:t xml:space="preserve"> формализации финансовой политики </w:t>
      </w:r>
      <w:r w:rsidR="005133D9">
        <w:t>организац</w:t>
      </w:r>
      <w:r w:rsidR="005133D9" w:rsidRPr="005133D9">
        <w:t>и</w:t>
      </w:r>
      <w:r w:rsidR="00A07C69">
        <w:t>и</w:t>
      </w:r>
      <w:r w:rsidR="005133D9" w:rsidRPr="005133D9">
        <w:t xml:space="preserve">; способных применить свои знания в сфере государственных и корпоративных финансов, в банковской, страховой и </w:t>
      </w:r>
      <w:r w:rsidR="005133D9" w:rsidRPr="00723226">
        <w:rPr>
          <w:spacing w:val="-20"/>
        </w:rPr>
        <w:t>инвестиционной</w:t>
      </w:r>
      <w:r w:rsidR="005133D9" w:rsidRPr="005133D9">
        <w:t xml:space="preserve"> </w:t>
      </w:r>
      <w:r w:rsidR="005133D9" w:rsidRPr="00723226">
        <w:rPr>
          <w:spacing w:val="-20"/>
        </w:rPr>
        <w:t>деятельности.</w:t>
      </w:r>
    </w:p>
    <w:p w:rsidR="00051CE5" w:rsidRPr="005D0CF8" w:rsidRDefault="00051CE5" w:rsidP="00E426A1">
      <w:pPr>
        <w:widowControl w:val="0"/>
        <w:ind w:firstLine="709"/>
        <w:jc w:val="both"/>
      </w:pPr>
      <w:r w:rsidRPr="005D0CF8">
        <w:t>Подготовка предполагает изучение направления «</w:t>
      </w:r>
      <w:r w:rsidR="009F0673" w:rsidRPr="005D0CF8">
        <w:t>Корпоративные финансы в цифровой экономике</w:t>
      </w:r>
      <w:r w:rsidRPr="005D0CF8">
        <w:t>».</w:t>
      </w:r>
    </w:p>
    <w:p w:rsidR="005133D9" w:rsidRDefault="005133D9" w:rsidP="005133D9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5133D9">
        <w:rPr>
          <w:bCs/>
        </w:rPr>
        <w:t xml:space="preserve">Программа нацелена на формирование у выпускников фундаментальных теоретических и прикладных знаний в области финансового управления бизнесом для эффективной профессиональной деятельности в </w:t>
      </w:r>
      <w:r w:rsidR="00A07C69">
        <w:rPr>
          <w:bCs/>
        </w:rPr>
        <w:t>национальной</w:t>
      </w:r>
      <w:r w:rsidRPr="005133D9">
        <w:rPr>
          <w:bCs/>
        </w:rPr>
        <w:t xml:space="preserve"> экономик</w:t>
      </w:r>
      <w:r w:rsidR="00A07C69">
        <w:rPr>
          <w:bCs/>
        </w:rPr>
        <w:t>е</w:t>
      </w:r>
      <w:r w:rsidRPr="005133D9">
        <w:rPr>
          <w:bCs/>
        </w:rPr>
        <w:t>, а также научно-исследовательской и аналитической деятельности в области корпоративных финансов.</w:t>
      </w:r>
    </w:p>
    <w:p w:rsidR="00A07C69" w:rsidRPr="005133D9" w:rsidRDefault="00A07C69" w:rsidP="005133D9">
      <w:pPr>
        <w:widowControl w:val="0"/>
        <w:tabs>
          <w:tab w:val="left" w:pos="993"/>
        </w:tabs>
        <w:ind w:firstLine="709"/>
        <w:jc w:val="both"/>
        <w:rPr>
          <w:bCs/>
        </w:rPr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285149" w:rsidRDefault="00C91CE7" w:rsidP="00E426A1">
      <w:pPr>
        <w:pStyle w:val="a8"/>
        <w:widowControl w:val="0"/>
        <w:ind w:left="0" w:firstLine="709"/>
        <w:jc w:val="both"/>
      </w:pPr>
      <w:r w:rsidRPr="00B52E99">
        <w:t>Форма обучения – очная</w:t>
      </w:r>
      <w:r w:rsidR="00285149">
        <w:t xml:space="preserve"> и заочная</w:t>
      </w:r>
      <w:r w:rsidRPr="00B52E99">
        <w:t xml:space="preserve">. </w:t>
      </w:r>
    </w:p>
    <w:p w:rsidR="00C91CE7" w:rsidRDefault="00285149" w:rsidP="00E426A1">
      <w:pPr>
        <w:pStyle w:val="a8"/>
        <w:widowControl w:val="0"/>
        <w:ind w:left="0" w:firstLine="709"/>
        <w:jc w:val="both"/>
      </w:pPr>
      <w:r w:rsidRPr="00B52E99">
        <w:t xml:space="preserve">Срок освоения образовательной программы подготовки </w:t>
      </w:r>
      <w:r>
        <w:t>магистра</w:t>
      </w:r>
      <w:r w:rsidRPr="00B52E99">
        <w:t xml:space="preserve"> </w:t>
      </w:r>
      <w:r>
        <w:t xml:space="preserve">по очной форме обучения </w:t>
      </w:r>
      <w:r w:rsidRPr="00B52E99">
        <w:t xml:space="preserve">составляет </w:t>
      </w:r>
      <w:r>
        <w:t>2</w:t>
      </w:r>
      <w:r w:rsidRPr="00B52E99">
        <w:t xml:space="preserve"> года</w:t>
      </w:r>
      <w:r>
        <w:t>, по заочной форме – 2 года и 4 месяца</w:t>
      </w:r>
      <w:r w:rsidRPr="00B52E99">
        <w:t xml:space="preserve">. </w:t>
      </w:r>
      <w:r w:rsidR="00C91CE7" w:rsidRPr="00B52E99">
        <w:t xml:space="preserve">Трудоемкость освоения студентом ОП составляет </w:t>
      </w:r>
      <w:r w:rsidR="00C91CE7">
        <w:t>12</w:t>
      </w:r>
      <w:r w:rsidR="00C91CE7" w:rsidRPr="00B52E99">
        <w:t xml:space="preserve">0 зачетных единиц за весь период обучения. Трудоемкость за учебный год </w:t>
      </w:r>
      <w:r>
        <w:t xml:space="preserve">по очной форме </w:t>
      </w:r>
      <w:r w:rsidR="00C91CE7" w:rsidRPr="00B52E99">
        <w:t>равна 60 зачетным единицам</w:t>
      </w:r>
      <w:r>
        <w:t>, по заочной форме</w:t>
      </w:r>
      <w:r w:rsidR="00AF39A3">
        <w:t xml:space="preserve"> –</w:t>
      </w:r>
      <w:r>
        <w:t xml:space="preserve"> 47, 49 и 24</w:t>
      </w:r>
      <w:r w:rsidR="00AF39A3">
        <w:t xml:space="preserve"> зачетных единиц</w:t>
      </w:r>
      <w:r w:rsidR="00C91CE7" w:rsidRPr="00B52E99">
        <w:t xml:space="preserve">. </w:t>
      </w:r>
      <w:r w:rsidR="00C91CE7"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E426A1">
      <w:pPr>
        <w:widowControl w:val="0"/>
        <w:ind w:firstLine="709"/>
        <w:jc w:val="both"/>
      </w:pPr>
      <w:r w:rsidRPr="00186111"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</w:t>
      </w:r>
      <w:r w:rsidRPr="00512595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E426A1">
      <w:pPr>
        <w:widowControl w:val="0"/>
        <w:ind w:firstLine="709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E426A1">
      <w:pPr>
        <w:widowControl w:val="0"/>
        <w:ind w:firstLine="709"/>
        <w:jc w:val="both"/>
      </w:pPr>
      <w:r>
        <w:t xml:space="preserve">Блок 1 «Дисциплины (модули)» </w:t>
      </w:r>
      <w:r w:rsidR="00E426A1">
        <w:t>–</w:t>
      </w:r>
      <w:r>
        <w:t xml:space="preserve"> </w:t>
      </w:r>
      <w:r w:rsidR="00E426A1">
        <w:t>6</w:t>
      </w:r>
      <w:r w:rsidR="00AF39A3">
        <w:t>1</w:t>
      </w:r>
      <w:r>
        <w:t xml:space="preserve"> </w:t>
      </w:r>
      <w:r w:rsidR="00186111" w:rsidRPr="006F1201">
        <w:t>зачетн</w:t>
      </w:r>
      <w:r w:rsidR="00AF39A3">
        <w:t>ую</w:t>
      </w:r>
      <w:r w:rsidR="00186111" w:rsidRPr="006F1201">
        <w:t xml:space="preserve"> единиц</w:t>
      </w:r>
      <w:r w:rsidR="00AF39A3">
        <w:t>у</w:t>
      </w:r>
      <w:r w:rsidR="00186111" w:rsidRPr="006F1201">
        <w:t xml:space="preserve"> (з.е.)</w:t>
      </w:r>
      <w:r w:rsidR="00E426A1">
        <w:t>: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базовая часть</w:t>
      </w:r>
      <w:r w:rsidRPr="006F1201">
        <w:t xml:space="preserve"> </w:t>
      </w:r>
      <w:r w:rsidR="00E426A1">
        <w:t>–</w:t>
      </w:r>
      <w:r w:rsidRPr="006F1201">
        <w:t xml:space="preserve"> </w:t>
      </w:r>
      <w:r w:rsidR="00AF39A3">
        <w:t>22</w:t>
      </w:r>
      <w:r w:rsidR="00186111" w:rsidRPr="00186111">
        <w:t xml:space="preserve"> </w:t>
      </w:r>
      <w:r w:rsidR="00186111">
        <w:t>з.е</w:t>
      </w:r>
      <w:r w:rsidR="00C061C2">
        <w:t>.</w:t>
      </w:r>
      <w:r w:rsidRPr="006F1201">
        <w:t>;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вариативная часть </w:t>
      </w:r>
      <w:r w:rsidR="00E426A1">
        <w:t>–</w:t>
      </w:r>
      <w:r w:rsidRPr="006F1201">
        <w:t xml:space="preserve"> </w:t>
      </w:r>
      <w:r w:rsidR="00AF39A3">
        <w:t>27</w:t>
      </w:r>
      <w:r w:rsidRPr="006F1201">
        <w:t xml:space="preserve"> з.е.;</w:t>
      </w:r>
    </w:p>
    <w:p w:rsidR="00C91CE7" w:rsidRDefault="00186111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</w:t>
      </w:r>
      <w:r w:rsidR="00C91CE7">
        <w:t>исциплины по выбору</w:t>
      </w:r>
      <w:r w:rsidR="00C91CE7" w:rsidRPr="006F1201">
        <w:t xml:space="preserve"> </w:t>
      </w:r>
      <w:r w:rsidR="00E426A1">
        <w:t>–</w:t>
      </w:r>
      <w:r w:rsidR="00C91CE7" w:rsidRPr="006F1201">
        <w:t xml:space="preserve"> </w:t>
      </w:r>
      <w:r w:rsidR="00FF791F">
        <w:t>1</w:t>
      </w:r>
      <w:r w:rsidR="00AF39A3">
        <w:t>2 з.е.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="00C061C2">
        <w:t>–</w:t>
      </w:r>
      <w:r w:rsidRPr="006F1201">
        <w:t xml:space="preserve"> </w:t>
      </w:r>
      <w:r w:rsidR="00AF39A3">
        <w:t>50</w:t>
      </w:r>
      <w:r w:rsidRPr="006F1201">
        <w:t xml:space="preserve"> з.е.; 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</w:t>
      </w:r>
      <w:r w:rsidR="00C061C2">
        <w:t>–</w:t>
      </w:r>
      <w:r w:rsidRPr="006F1201">
        <w:t xml:space="preserve"> </w:t>
      </w:r>
      <w:r>
        <w:t>9</w:t>
      </w:r>
      <w:r w:rsidRPr="006F1201">
        <w:t xml:space="preserve"> з.е.</w:t>
      </w:r>
    </w:p>
    <w:p w:rsidR="007E1A31" w:rsidRPr="00AF39A3" w:rsidRDefault="00FF791F" w:rsidP="00AF39A3">
      <w:pPr>
        <w:widowControl w:val="0"/>
        <w:ind w:firstLine="709"/>
        <w:jc w:val="both"/>
        <w:rPr>
          <w:szCs w:val="20"/>
        </w:rPr>
      </w:pPr>
      <w:r w:rsidRPr="007E1A31">
        <w:lastRenderedPageBreak/>
        <w:t xml:space="preserve">Дисциплинами базовой части являются: </w:t>
      </w:r>
      <w:r w:rsidR="00AF39A3" w:rsidRPr="00AF39A3">
        <w:rPr>
          <w:szCs w:val="20"/>
        </w:rPr>
        <w:t>основы научных исследований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финансовые и денежно-кредитные методы регулирования экономики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корпоративное право (финансовый аспект)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математическое обеспечение финансовых решений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финансовые технологии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финансы организаций в цифровой экономике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профессиональный иностранный язык</w:t>
      </w:r>
      <w:r w:rsidR="00AF39A3">
        <w:rPr>
          <w:szCs w:val="20"/>
        </w:rPr>
        <w:t>.</w:t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7E1A31">
        <w:t>Обязательными дисциплинами вариативной части</w:t>
      </w:r>
      <w:r w:rsidR="007E1A31" w:rsidRPr="006F1201">
        <w:t xml:space="preserve"> являются: </w:t>
      </w:r>
      <w:r w:rsidR="00AF39A3" w:rsidRPr="00AF39A3">
        <w:rPr>
          <w:szCs w:val="20"/>
        </w:rPr>
        <w:t>основы цифровой экономики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деньги и платежи в современных условиях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современные финансовые рынки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практикум по налогообложению организаций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технологии финансового планирования и бюджетирования в организации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международные стандарты финансовой отчетности (продвинутый курс)</w:t>
      </w:r>
      <w:r w:rsidR="009F0673">
        <w:rPr>
          <w:szCs w:val="20"/>
        </w:rPr>
        <w:t xml:space="preserve">; </w:t>
      </w:r>
      <w:r w:rsidR="00AF39A3" w:rsidRPr="00AF39A3">
        <w:rPr>
          <w:szCs w:val="20"/>
        </w:rPr>
        <w:t>стратегический финансовый менеджмент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технологии управления финансовыми рисками</w:t>
      </w:r>
      <w:r w:rsidR="00AF39A3">
        <w:rPr>
          <w:szCs w:val="20"/>
        </w:rPr>
        <w:t>.</w:t>
      </w:r>
      <w:r w:rsidR="00AF39A3" w:rsidRPr="00AF39A3">
        <w:rPr>
          <w:szCs w:val="20"/>
        </w:rPr>
        <w:tab/>
      </w:r>
    </w:p>
    <w:p w:rsidR="00392497" w:rsidRPr="00392497" w:rsidRDefault="007E1A31" w:rsidP="00AF39A3">
      <w:pPr>
        <w:widowControl w:val="0"/>
        <w:ind w:firstLine="709"/>
        <w:jc w:val="both"/>
      </w:pPr>
      <w:r w:rsidRPr="006F1201">
        <w:t xml:space="preserve">Дисциплинами по выбору являются: </w:t>
      </w:r>
      <w:r w:rsidR="009F0673" w:rsidRPr="00AF39A3">
        <w:rPr>
          <w:szCs w:val="20"/>
        </w:rPr>
        <w:t>управление эффективностью бизнеса</w:t>
      </w:r>
      <w:r w:rsidR="009F0673">
        <w:rPr>
          <w:szCs w:val="20"/>
        </w:rPr>
        <w:t>;</w:t>
      </w:r>
      <w:r w:rsidR="009F0673" w:rsidRPr="00AF39A3">
        <w:rPr>
          <w:szCs w:val="20"/>
        </w:rPr>
        <w:t xml:space="preserve"> корпоративное управление в современном банке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современные банковские продукты и технологии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современный банковский ритэйл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современная портфельная теория в системе управления корпоративными финансами</w:t>
      </w:r>
      <w:r w:rsidR="009F0673">
        <w:rPr>
          <w:szCs w:val="20"/>
        </w:rPr>
        <w:t>;</w:t>
      </w:r>
      <w:r w:rsidR="009F0673" w:rsidRPr="00AF39A3">
        <w:rPr>
          <w:szCs w:val="20"/>
        </w:rPr>
        <w:t xml:space="preserve"> организация денежных потоков компании</w:t>
      </w:r>
      <w:r w:rsidR="009F0673">
        <w:rPr>
          <w:szCs w:val="20"/>
        </w:rPr>
        <w:t>;</w:t>
      </w:r>
      <w:r w:rsidR="009F0673" w:rsidRPr="00AF39A3">
        <w:rPr>
          <w:szCs w:val="20"/>
        </w:rPr>
        <w:t xml:space="preserve"> оценка стоимости компании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слияния, поглощения и реструктуризация компании</w:t>
      </w:r>
      <w:r w:rsidR="009F0673">
        <w:rPr>
          <w:szCs w:val="20"/>
        </w:rPr>
        <w:t>.</w:t>
      </w:r>
      <w:r w:rsidR="009F067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392497" w:rsidRPr="00392497">
        <w:t xml:space="preserve">Блок 2 «Практики, в том числе научно-исследовательская работа (НИР)» </w:t>
      </w:r>
      <w:r w:rsidR="00392497">
        <w:t>включает учебную, производственную, преддипломную практики и НИР.</w:t>
      </w:r>
      <w:r w:rsidR="00392497" w:rsidRPr="00392497">
        <w:t xml:space="preserve"> </w:t>
      </w:r>
    </w:p>
    <w:p w:rsidR="00434085" w:rsidRPr="00434085" w:rsidRDefault="00434085" w:rsidP="00E426A1">
      <w:pPr>
        <w:pStyle w:val="a9"/>
        <w:widowControl w:val="0"/>
        <w:ind w:firstLine="709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4B381F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</w:t>
      </w:r>
      <w:r w:rsidR="00400834">
        <w:rPr>
          <w:b/>
          <w:bCs/>
        </w:rPr>
        <w:t>альной деятельности выпускника</w:t>
      </w:r>
    </w:p>
    <w:p w:rsidR="00400834" w:rsidRDefault="004B381F" w:rsidP="00E426A1">
      <w:pPr>
        <w:pStyle w:val="a9"/>
        <w:widowControl w:val="0"/>
        <w:ind w:firstLine="709"/>
        <w:jc w:val="both"/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</w:t>
      </w:r>
      <w:r w:rsidR="00400834">
        <w:t>:</w:t>
      </w:r>
    </w:p>
    <w:p w:rsidR="00BD2A48" w:rsidRDefault="009F0673" w:rsidP="00BD2A48">
      <w:pPr>
        <w:pStyle w:val="a9"/>
        <w:widowControl w:val="0"/>
        <w:ind w:firstLine="709"/>
        <w:jc w:val="both"/>
      </w:pPr>
      <w:r>
        <w:t xml:space="preserve">– </w:t>
      </w:r>
      <w:r w:rsidR="00BD2A48">
        <w:t>управление финансами и денежными потоками, а также финансовый контроль в коммерческих</w:t>
      </w:r>
      <w:r>
        <w:t xml:space="preserve"> </w:t>
      </w:r>
      <w:r w:rsidR="00BD2A48">
        <w:t>организациях, в том числе финансово-кредитных, некоммерческих организациях, органах государственной</w:t>
      </w:r>
      <w:r>
        <w:t xml:space="preserve"> </w:t>
      </w:r>
      <w:r w:rsidR="00BD2A48">
        <w:t>власти и местного самоуправления, неправительственных и общественных организациях;</w:t>
      </w:r>
    </w:p>
    <w:p w:rsidR="00BD2A48" w:rsidRDefault="009F0673" w:rsidP="00BD2A48">
      <w:pPr>
        <w:pStyle w:val="a9"/>
        <w:widowControl w:val="0"/>
        <w:ind w:firstLine="709"/>
        <w:jc w:val="both"/>
      </w:pPr>
      <w:r>
        <w:t xml:space="preserve">– </w:t>
      </w:r>
      <w:r w:rsidR="00BD2A48">
        <w:t>исследование финансовых, денежных, кредитных рынков в академических и ведомственных</w:t>
      </w:r>
      <w:r>
        <w:t xml:space="preserve"> </w:t>
      </w:r>
      <w:r w:rsidR="00BD2A48">
        <w:t>научно-исследовательских учреждениях, негосударственных исследовательских фондах и организациях,</w:t>
      </w:r>
      <w:r>
        <w:t xml:space="preserve"> </w:t>
      </w:r>
      <w:r w:rsidR="00BD2A48">
        <w:t>консалтинговых и инвестиционных компаниях;</w:t>
      </w:r>
    </w:p>
    <w:p w:rsidR="009F0673" w:rsidRPr="009F0673" w:rsidRDefault="009F0673" w:rsidP="00FE184D">
      <w:pPr>
        <w:pStyle w:val="a9"/>
        <w:widowControl w:val="0"/>
        <w:ind w:firstLine="709"/>
        <w:jc w:val="both"/>
        <w:rPr>
          <w:color w:val="FF0000"/>
        </w:rPr>
      </w:pPr>
      <w:r w:rsidRPr="00FE184D">
        <w:t>– педагогическую деятельность в образовательных организациях высшего образования,</w:t>
      </w:r>
      <w:r w:rsidR="00FE184D" w:rsidRPr="00FE184D">
        <w:t xml:space="preserve"> </w:t>
      </w:r>
      <w:r w:rsidRPr="00FE184D">
        <w:t>дополнительного профессионального образования, профессиональных образовательных организациях.</w:t>
      </w:r>
      <w:r>
        <w:t xml:space="preserve"> 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.2 Объекты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4B381F" w:rsidP="00E426A1">
      <w:pPr>
        <w:pStyle w:val="a8"/>
        <w:widowControl w:val="0"/>
        <w:ind w:left="0" w:firstLine="709"/>
        <w:jc w:val="both"/>
      </w:pPr>
      <w:r w:rsidRPr="00E9238E">
        <w:t>Объектами профессиональной деят</w:t>
      </w:r>
      <w:r w:rsidR="003A31F1">
        <w:t>ельности выпускников являются:</w:t>
      </w:r>
    </w:p>
    <w:p w:rsidR="00BD2A48" w:rsidRDefault="00BD2A48" w:rsidP="00BD2A48">
      <w:pPr>
        <w:pStyle w:val="a8"/>
        <w:widowControl w:val="0"/>
        <w:ind w:hanging="11"/>
        <w:jc w:val="both"/>
      </w:pPr>
      <w:r>
        <w:t>– финансовые и денежно-кредитные отношения;</w:t>
      </w:r>
    </w:p>
    <w:p w:rsidR="00BD2A48" w:rsidRDefault="00BD2A48" w:rsidP="00BD2A48">
      <w:pPr>
        <w:pStyle w:val="a8"/>
        <w:widowControl w:val="0"/>
        <w:ind w:hanging="11"/>
        <w:jc w:val="both"/>
      </w:pPr>
      <w:r>
        <w:t>– денежные, финансовые и информационные потоки;</w:t>
      </w:r>
    </w:p>
    <w:p w:rsidR="00BD2A48" w:rsidRDefault="00BD2A48" w:rsidP="00BD2A48">
      <w:pPr>
        <w:pStyle w:val="a8"/>
        <w:widowControl w:val="0"/>
        <w:ind w:hanging="11"/>
        <w:jc w:val="both"/>
      </w:pPr>
      <w:r>
        <w:t>– национальные и мировые финансовые системы;</w:t>
      </w:r>
    </w:p>
    <w:p w:rsidR="00BD2A48" w:rsidRDefault="00BD2A48" w:rsidP="00BD2A48">
      <w:pPr>
        <w:pStyle w:val="a8"/>
        <w:widowControl w:val="0"/>
        <w:ind w:left="0" w:firstLine="709"/>
        <w:jc w:val="both"/>
      </w:pPr>
      <w:r>
        <w:t>– финансы субъектов хозяйствования.</w:t>
      </w:r>
    </w:p>
    <w:p w:rsidR="004B381F" w:rsidRPr="004B381F" w:rsidRDefault="00AD2EF3" w:rsidP="00BD2A48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.3 Виды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58502D" w:rsidP="00E426A1">
      <w:pPr>
        <w:pStyle w:val="a9"/>
        <w:widowControl w:val="0"/>
        <w:ind w:firstLine="709"/>
        <w:jc w:val="both"/>
      </w:pPr>
      <w:r w:rsidRPr="0058502D">
        <w:t>Виды профессиональной деятельности, к которым готовятся выпускники</w:t>
      </w:r>
      <w:r w:rsidR="003A31F1">
        <w:t>: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83F2F">
        <w:rPr>
          <w:rFonts w:ascii="Times New Roman" w:hAnsi="Times New Roman" w:cs="Times New Roman"/>
          <w:sz w:val="24"/>
          <w:szCs w:val="24"/>
        </w:rPr>
        <w:t>налитическая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проектно-экономическая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консалтинговая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E426A1">
      <w:pPr>
        <w:pStyle w:val="a9"/>
        <w:widowControl w:val="0"/>
        <w:ind w:firstLine="709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>
        <w:rPr>
          <w:b/>
          <w:i/>
        </w:rPr>
        <w:lastRenderedPageBreak/>
        <w:t>А</w:t>
      </w:r>
      <w:r w:rsidRPr="00BD2A48">
        <w:rPr>
          <w:b/>
          <w:i/>
        </w:rPr>
        <w:t>налитическая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и оценка направлений развития денежно-кредитных и финансовых институтов и рынков в контексте общеэкономических, мировых и страновых особенностей;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финансово-экономических показателей, характеризующих деятельность коммерческих и некоммерческих организаций различных организационно-правовых форм, включая финансово-кредитные организации, органы государственной власти и местного самоуправления;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и обоснование предложений по совершенствованию методик расчета указанных показателей;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поиск, анализ и оценка финансовой и экономической информации для проведения финансовых расчетов и обоснования принимаемых управленческих решений;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финансовой и экономической эффективности предложенных проектов, анализ финансово-экономических результатов их реализации;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существующих форм организации финансовых служб и подразделений коммерческих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совершенствованию;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и оценка концептуальных подходов к методам и инструментам финансового и денежно-кредитного регулирования экономики;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фактически достигнутых промежуточных и итоговых результатов финансовой деятельности коммерческих и некоммерческих организаций различных организационно-правовых форм, включая финансово-кредитные организации органов государственной власти и органов местного самоуправления;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эффективности использования ресурсов, включая финансовые;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и оценка финансово-экономических рисков и прогнозирование динамики основных финансово-экономических показателей на микро-, мезо- и макроуровне;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проведение комплексного экономического и финансового анализа и оценка результатов и эффективности деятельности коммерческих и некоммерческих организаций различных организационно-правовых форм, включая финансово-кредитные, органов государственной власти и органов местного самоуправления;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финансовой устойчивости коммерческих и некоммерческих организаций различных организационно-правовых форм, в том числе финансово-кредитных;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сбалансированности движения денежных и материальных потоков.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Проектно-экономическая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 xml:space="preserve">подготовка проектных заданий, проектов и программ; 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нормативных документов и методических материалов, а также предложений и мероприятий по реализации подготовленных проектов и программ;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составление бюджетов и финансовых планов коммерческих и не коммерческих организаций различных организационно-правовых форм, в том числе финансово-кредитных; расчетов к бюджетам бюджетной системы Российской Федерации;</w:t>
      </w:r>
    </w:p>
    <w:p w:rsidR="00BD2A48" w:rsidRPr="00BD2A48" w:rsidRDefault="00BD2A48" w:rsidP="00BD2A48">
      <w:pPr>
        <w:pStyle w:val="a9"/>
        <w:ind w:firstLine="567"/>
        <w:jc w:val="both"/>
      </w:pPr>
      <w:r>
        <w:t>–</w:t>
      </w:r>
      <w:r w:rsidR="00723226">
        <w:t xml:space="preserve"> </w:t>
      </w:r>
      <w:r w:rsidRPr="00BD2A48">
        <w:t>идентификация и оценка рисков при принятии финансовых решений, разработка мероприятий по их минимизации.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Организационно-управленческая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организационно-правовых форм, включая финансово-кредитные, и их отдельных подразделений, а также финансовой политики публично-правовых образований;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управление движением денежных потоков, формированием и использованием финансовых ресурсов;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руководство финансовыми службами и подразделениями коммерческих и некоммерческих организаций различных организационно-правовых форм, включая финансово-</w:t>
      </w:r>
      <w:r w:rsidRPr="00BD2A48">
        <w:lastRenderedPageBreak/>
        <w:t>кредитные, органов государственной власти и органов местного самоуправления, неправительственных и международных организаций;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руководство временными творческими коллективами, создаваемыми для разработки финансовых аспектов новых проектных решений.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Консалтинговая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оказание консалтинговых услуг коммерческим и некоммерческим организациям различных организационно-правовых форм (включая финансово-кредитные организации) по вопросам совершенствования их финансовой деятельности;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проведение консалтинговых исследований финансовых проблем по заказам организаций (включая финансово-кредитные организации), органов государственной власти и органов местного самоуправления и разработка предложений по совершенствованию финансовых аспектов их деятельности.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Научно-исследовательская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выявление и исследование актуальных проблем в области денег, финансов и кредита;</w:t>
      </w:r>
    </w:p>
    <w:p w:rsidR="00BD2A48" w:rsidRPr="00A07C69" w:rsidRDefault="00BD2A48" w:rsidP="00BD2A48">
      <w:pPr>
        <w:pStyle w:val="a9"/>
        <w:ind w:firstLine="567"/>
        <w:jc w:val="both"/>
        <w:rPr>
          <w:spacing w:val="-20"/>
        </w:rPr>
      </w:pPr>
      <w:r>
        <w:t xml:space="preserve">– </w:t>
      </w:r>
      <w:r w:rsidRPr="00BD2A48">
        <w:t xml:space="preserve">разработка планов и программ проведения исследований в области </w:t>
      </w:r>
      <w:r w:rsidRPr="00A07C69">
        <w:rPr>
          <w:spacing w:val="-20"/>
        </w:rPr>
        <w:t>финансов и кредита;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подготовка соответствующих заданий для научных подразделений и отдельных исполнителей;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методов и инструментов проведения финансово-экономических исследований, анализ полученных результатов;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обобщение имеющихся данных для составления финансовых обзоров, отчетов и научных публикаций в области финансов и кредита;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поиск, сбор, обработка, анализ и систематизация информации по теме научного исследования в области финансов и кредита;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теоретических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выявление и исследование эффективных направлений финансового обеспечения инновационного развития на микро-, мезо- и макроуровне;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системы управления рисками на основе исследования финансово-экономических рисков в деятельности хозяйствующих субъектов;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исследование проблем финансовой устойчивости организаций (включая финансово-кредитные организации) для разработки эффективных методов ее обеспечения с учетом фактора неопределенности;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интерпретация результатов финансово-экономических исследований с целью разработки финансовых аспектов перспективных направлений инновационного развития коммерческих и некоммерческих организаций (включая финансово-кредитные организации).</w:t>
      </w:r>
    </w:p>
    <w:p w:rsidR="0058502D" w:rsidRDefault="0058502D" w:rsidP="0058502D">
      <w:pPr>
        <w:pStyle w:val="a9"/>
        <w:widowControl w:val="0"/>
        <w:ind w:firstLine="709"/>
        <w:jc w:val="both"/>
      </w:pPr>
    </w:p>
    <w:p w:rsidR="00783F90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74D19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 w:rsidRPr="00E74D19">
        <w:t>з</w:t>
      </w:r>
      <w:r w:rsidRPr="00E74D19">
        <w:t xml:space="preserve">адачами </w:t>
      </w:r>
      <w:r w:rsidR="00D56E0D" w:rsidRPr="00E74D19">
        <w:t>профессиональной деятельности.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9238E">
        <w:t xml:space="preserve">В </w:t>
      </w:r>
      <w:r w:rsidR="008265E2">
        <w:t xml:space="preserve">результате освоения </w:t>
      </w:r>
      <w:r w:rsidR="00D56E0D">
        <w:t>программы магистратуры</w:t>
      </w:r>
      <w:r w:rsidRPr="00E9238E">
        <w:t xml:space="preserve"> выпускник должен обладать следующими компе</w:t>
      </w:r>
      <w:r w:rsidR="00D56E0D">
        <w:t>тенциями:</w:t>
      </w:r>
    </w:p>
    <w:p w:rsidR="00BD2A48" w:rsidRPr="00683F2F" w:rsidRDefault="0065222E" w:rsidP="00BD2A48">
      <w:pPr>
        <w:pStyle w:val="a9"/>
        <w:ind w:firstLine="567"/>
        <w:jc w:val="both"/>
        <w:rPr>
          <w:b/>
        </w:rPr>
      </w:pPr>
      <w:r>
        <w:rPr>
          <w:b/>
        </w:rPr>
        <w:t>О</w:t>
      </w:r>
      <w:r w:rsidR="00BD2A48" w:rsidRPr="00683F2F">
        <w:rPr>
          <w:b/>
        </w:rPr>
        <w:t>бщекультурны</w:t>
      </w:r>
      <w:r w:rsidR="00BD2A48">
        <w:rPr>
          <w:b/>
        </w:rPr>
        <w:t>е</w:t>
      </w:r>
      <w:r w:rsidR="00BD2A48" w:rsidRPr="00683F2F">
        <w:rPr>
          <w:b/>
        </w:rPr>
        <w:t xml:space="preserve"> компетенции: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к абстрактному мышлению, анализу, синтезу (ОК-1);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готовность к саморазвитию, самореализации, использованию творческого потенциала (ОК-3)</w:t>
      </w:r>
      <w:r w:rsidR="0065222E">
        <w:t>.</w:t>
      </w:r>
    </w:p>
    <w:p w:rsidR="00BD2A48" w:rsidRPr="00683F2F" w:rsidRDefault="0065222E" w:rsidP="00BD2A48">
      <w:pPr>
        <w:pStyle w:val="a9"/>
        <w:ind w:firstLine="567"/>
        <w:jc w:val="both"/>
        <w:rPr>
          <w:b/>
        </w:rPr>
      </w:pPr>
      <w:r>
        <w:rPr>
          <w:b/>
        </w:rPr>
        <w:t>О</w:t>
      </w:r>
      <w:r w:rsidR="00BD2A48" w:rsidRPr="00683F2F">
        <w:rPr>
          <w:b/>
        </w:rPr>
        <w:t>бщепрофессиональны</w:t>
      </w:r>
      <w:r w:rsidR="00BD2A48">
        <w:rPr>
          <w:b/>
        </w:rPr>
        <w:t>е</w:t>
      </w:r>
      <w:r w:rsidR="00BD2A48" w:rsidRPr="00683F2F">
        <w:rPr>
          <w:b/>
        </w:rPr>
        <w:t xml:space="preserve"> компетенции: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BD2A48" w:rsidRPr="00683F2F" w:rsidRDefault="00BD2A48" w:rsidP="00BD2A48">
      <w:pPr>
        <w:pStyle w:val="a9"/>
        <w:ind w:firstLine="567"/>
        <w:jc w:val="both"/>
      </w:pPr>
      <w:r>
        <w:lastRenderedPageBreak/>
        <w:t xml:space="preserve">– </w:t>
      </w:r>
      <w:r w:rsidRPr="00683F2F">
        <w:t>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(ОПК-2)</w:t>
      </w:r>
      <w:r w:rsidR="0065222E">
        <w:t>.</w:t>
      </w:r>
    </w:p>
    <w:p w:rsidR="00BD2A48" w:rsidRPr="00683F2F" w:rsidRDefault="0065222E" w:rsidP="00BD2A48">
      <w:pPr>
        <w:pStyle w:val="a9"/>
        <w:ind w:firstLine="567"/>
        <w:jc w:val="both"/>
      </w:pPr>
      <w:r>
        <w:rPr>
          <w:b/>
        </w:rPr>
        <w:t>П</w:t>
      </w:r>
      <w:r w:rsidR="00BD2A48" w:rsidRPr="00683F2F">
        <w:rPr>
          <w:b/>
        </w:rPr>
        <w:t>рофессиональны</w:t>
      </w:r>
      <w:r w:rsidR="00BD2A48">
        <w:rPr>
          <w:b/>
        </w:rPr>
        <w:t>е</w:t>
      </w:r>
      <w:r w:rsidR="00BD2A48" w:rsidRPr="00683F2F">
        <w:rPr>
          <w:b/>
        </w:rPr>
        <w:t xml:space="preserve"> компетенции</w:t>
      </w:r>
      <w:r w:rsidR="00BD2A48" w:rsidRPr="00683F2F">
        <w:t>:</w:t>
      </w:r>
    </w:p>
    <w:p w:rsidR="00BD2A48" w:rsidRPr="00683F2F" w:rsidRDefault="00BD2A48" w:rsidP="00BD2A48">
      <w:pPr>
        <w:pStyle w:val="a9"/>
        <w:ind w:firstLine="567"/>
        <w:jc w:val="both"/>
        <w:rPr>
          <w:b/>
          <w:i/>
        </w:rPr>
      </w:pPr>
      <w:r w:rsidRPr="00683F2F">
        <w:rPr>
          <w:b/>
          <w:i/>
        </w:rPr>
        <w:t>аналитическая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</w:t>
      </w:r>
      <w:r>
        <w:t xml:space="preserve"> </w:t>
      </w:r>
      <w:r w:rsidRPr="00683F2F">
        <w:t>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анализировать и использовать различные источники информации для проведения финансово-экономических расчетов (ПК-2);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расчетов (ПК-3);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мезоуровне (ПК-4);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(ПК-5);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дать оценку текущей, кратко- и долгосрочной финансовой устойчивости организации, в том числе кредитной (ПК-6)</w:t>
      </w:r>
      <w:r>
        <w:t>;</w:t>
      </w:r>
    </w:p>
    <w:p w:rsidR="00BD2A48" w:rsidRPr="00683F2F" w:rsidRDefault="00BD2A48" w:rsidP="00BD2A48">
      <w:pPr>
        <w:pStyle w:val="a9"/>
        <w:ind w:firstLine="567"/>
        <w:jc w:val="both"/>
        <w:rPr>
          <w:b/>
          <w:i/>
        </w:rPr>
      </w:pPr>
      <w:r w:rsidRPr="00683F2F">
        <w:rPr>
          <w:b/>
          <w:i/>
        </w:rPr>
        <w:t>проектно-экономическая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 (ПК-7);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предложить конкретные мероприятия по реализации разработанных проектов и программ (ПК-8);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оценивать финансовую эффективность разработанных проектов с учетом оценки финансово-экономических рисков и фактора неопределенности (ПК-9);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способностью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 (ПК-10);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обосновать на основе анализа финансово-экономических рисков стратегию поведения экономических агентов на различных сегментах финансового рынка (ПК-11)</w:t>
      </w:r>
      <w:r>
        <w:t>;</w:t>
      </w:r>
    </w:p>
    <w:p w:rsidR="00BD2A48" w:rsidRPr="00E132F3" w:rsidRDefault="00BD2A48" w:rsidP="00BD2A48">
      <w:pPr>
        <w:pStyle w:val="a9"/>
        <w:ind w:firstLine="567"/>
        <w:jc w:val="both"/>
        <w:rPr>
          <w:b/>
          <w:i/>
        </w:rPr>
      </w:pPr>
      <w:r w:rsidRPr="00E132F3">
        <w:rPr>
          <w:b/>
          <w:i/>
        </w:rPr>
        <w:t>организационно-управленческая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руководить разработкой краткосрочной и долгосрочной</w:t>
      </w:r>
      <w:r>
        <w:t xml:space="preserve"> </w:t>
      </w:r>
      <w:r w:rsidRPr="00683F2F">
        <w:t>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 (ПК-12);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 xml:space="preserve">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</w:t>
      </w:r>
      <w:r w:rsidRPr="00723226">
        <w:rPr>
          <w:spacing w:val="-20"/>
        </w:rPr>
        <w:t>финансовых аспектов новых</w:t>
      </w:r>
      <w:r w:rsidRPr="00683F2F">
        <w:t xml:space="preserve"> проектных решений (ПК-13);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обеспечить организацию работы по исполнению разработанных и утвержденных бюджетов (ПК-14)</w:t>
      </w:r>
      <w:r>
        <w:t>;</w:t>
      </w:r>
    </w:p>
    <w:p w:rsidR="00723226" w:rsidRDefault="00723226" w:rsidP="00BD2A48">
      <w:pPr>
        <w:pStyle w:val="a9"/>
        <w:ind w:firstLine="567"/>
        <w:jc w:val="both"/>
        <w:rPr>
          <w:b/>
          <w:i/>
        </w:rPr>
      </w:pPr>
    </w:p>
    <w:p w:rsidR="00723226" w:rsidRDefault="00723226" w:rsidP="00BD2A48">
      <w:pPr>
        <w:pStyle w:val="a9"/>
        <w:ind w:firstLine="567"/>
        <w:jc w:val="both"/>
        <w:rPr>
          <w:b/>
          <w:i/>
        </w:rPr>
      </w:pPr>
    </w:p>
    <w:p w:rsidR="00723226" w:rsidRDefault="00723226" w:rsidP="00BD2A48">
      <w:pPr>
        <w:pStyle w:val="a9"/>
        <w:ind w:firstLine="567"/>
        <w:jc w:val="both"/>
        <w:rPr>
          <w:b/>
          <w:i/>
        </w:rPr>
      </w:pPr>
    </w:p>
    <w:p w:rsidR="00BD2A48" w:rsidRPr="00E132F3" w:rsidRDefault="00BD2A48" w:rsidP="00BD2A48">
      <w:pPr>
        <w:pStyle w:val="a9"/>
        <w:ind w:firstLine="567"/>
        <w:jc w:val="both"/>
        <w:rPr>
          <w:b/>
          <w:i/>
        </w:rPr>
      </w:pPr>
      <w:r w:rsidRPr="00E132F3">
        <w:rPr>
          <w:b/>
          <w:i/>
        </w:rPr>
        <w:lastRenderedPageBreak/>
        <w:t>консалтинговая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оказать консалтинговые услуги коммерческим и некоммерческим организациям различных организационно-правовых форм, включая финансово-кредитные, по вопросам совершенствования их финансовой деятельности (ПК-15);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провести консалтинговые исследования финансовых проблем по заказам хозяйствующих субъектов, включая финансово-кредитные организации, органов государственной власти и органов местного самоуправления (ПК-16)</w:t>
      </w:r>
      <w:r>
        <w:t>;</w:t>
      </w:r>
    </w:p>
    <w:p w:rsidR="00BD2A48" w:rsidRPr="00E132F3" w:rsidRDefault="00BD2A48" w:rsidP="00BD2A48">
      <w:pPr>
        <w:pStyle w:val="a9"/>
        <w:ind w:firstLine="567"/>
        <w:jc w:val="both"/>
        <w:rPr>
          <w:b/>
          <w:i/>
        </w:rPr>
      </w:pPr>
      <w:r w:rsidRPr="00E132F3">
        <w:rPr>
          <w:b/>
          <w:i/>
        </w:rPr>
        <w:t>научно-исследовательская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 (ПК-17);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 (ПК-18);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сбор, обработку, анализ и систематизацию информации по теме исследования, выбор методов и средств решения задач исследования (ПК-19);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разработку теоретических и новых экономических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 (ПК-20);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выявлять и проводить исследование актуальных научных проблем в области финансов и кредита (ПК-21);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выявлять и проводить исследование эффективных направлений финансового обеспечения инновационного развития на м</w:t>
      </w:r>
      <w:r w:rsidR="00B42525">
        <w:t>и</w:t>
      </w:r>
      <w:r w:rsidRPr="00683F2F">
        <w:t>кро-, м</w:t>
      </w:r>
      <w:r w:rsidR="00B42525">
        <w:t>а</w:t>
      </w:r>
      <w:r w:rsidRPr="00683F2F">
        <w:t>кро- и мезоуровне (ПК-22);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 xml:space="preserve">способность выявлять и проводить исследование финансово-экономических рисков в деятельности хозяйствующих субъектов для разработки системы </w:t>
      </w:r>
      <w:r w:rsidRPr="00A07C69">
        <w:rPr>
          <w:spacing w:val="-20"/>
        </w:rPr>
        <w:t>управления рисками</w:t>
      </w:r>
      <w:r w:rsidRPr="00683F2F">
        <w:t xml:space="preserve"> (ПК-23);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(ПК-24);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 (ПК-25).</w:t>
      </w:r>
    </w:p>
    <w:p w:rsidR="00190D52" w:rsidRPr="001561B5" w:rsidRDefault="00190D52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ОП обеспечена учебной и учебно-методической литературой, методическими пособиями и электронными (в том числе интернет</w:t>
      </w:r>
      <w:r w:rsidR="00C82005">
        <w:t>-</w:t>
      </w:r>
      <w:r w:rsidRPr="00560484">
        <w:t xml:space="preserve">) ресурсами, необходимыми для организации образовательного процесса. 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="00C82005" w:rsidRPr="00560484">
        <w:t>О</w:t>
      </w:r>
      <w:r w:rsidRPr="00560484">
        <w:t>беспече</w:t>
      </w:r>
      <w:r w:rsidR="00C82005">
        <w:t>н</w:t>
      </w:r>
      <w:r w:rsidRPr="00560484">
        <w:t xml:space="preserve">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AD2EF3" w:rsidRPr="00560484" w:rsidRDefault="00AD2EF3" w:rsidP="00E426A1">
      <w:pPr>
        <w:widowControl w:val="0"/>
        <w:ind w:firstLine="709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имеется автоматизированная информационная библиотечная система с выходом в </w:t>
      </w:r>
      <w:r w:rsidR="00C82005">
        <w:t>интернет</w:t>
      </w:r>
      <w:r w:rsidRPr="00560484">
        <w:t>.</w:t>
      </w:r>
    </w:p>
    <w:p w:rsidR="00AD2EF3" w:rsidRDefault="00AD2EF3" w:rsidP="00E426A1">
      <w:pPr>
        <w:widowControl w:val="0"/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r w:rsidRPr="00C82005">
        <w:rPr>
          <w:shd w:val="clear" w:color="auto" w:fill="FFFFFF"/>
        </w:rPr>
        <w:t>электронно-библиотечной системе «ZNANIUM»</w:t>
      </w:r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Pr="001037B1">
        <w:t xml:space="preserve"> дополняет библиотечный фонд печатных изданий.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E426A1">
      <w:pPr>
        <w:pStyle w:val="a9"/>
        <w:widowControl w:val="0"/>
        <w:ind w:firstLine="709"/>
        <w:jc w:val="both"/>
      </w:pPr>
    </w:p>
    <w:p w:rsidR="00783F90" w:rsidRPr="005D0CF8" w:rsidRDefault="00783F90" w:rsidP="00EE7027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D0CF8">
        <w:rPr>
          <w:b/>
          <w:bCs/>
        </w:rPr>
        <w:lastRenderedPageBreak/>
        <w:t>Возможные места практики</w:t>
      </w:r>
    </w:p>
    <w:p w:rsidR="00EA6663" w:rsidRPr="00723226" w:rsidRDefault="00B22633" w:rsidP="00E426A1">
      <w:pPr>
        <w:pStyle w:val="a9"/>
        <w:widowControl w:val="0"/>
        <w:ind w:firstLine="709"/>
        <w:jc w:val="both"/>
      </w:pPr>
      <w:r w:rsidRPr="005D0CF8">
        <w:t xml:space="preserve">Стационарная практика (учебная) реализуется на базе </w:t>
      </w:r>
      <w:r w:rsidRPr="00723226">
        <w:t>Белорусско-Российского университета.</w:t>
      </w:r>
    </w:p>
    <w:p w:rsidR="00EA6663" w:rsidRDefault="00B22633" w:rsidP="00E426A1">
      <w:pPr>
        <w:pStyle w:val="a9"/>
        <w:widowControl w:val="0"/>
        <w:ind w:firstLine="709"/>
        <w:jc w:val="both"/>
      </w:pPr>
      <w:r>
        <w:t>Выездная п</w:t>
      </w:r>
      <w:r w:rsidR="00EA6663">
        <w:t>рактика</w:t>
      </w:r>
      <w:r>
        <w:t xml:space="preserve"> (производственная, преддипломная)</w:t>
      </w:r>
      <w:r w:rsidR="00EA6663">
        <w:t xml:space="preserve"> реализуется на базе следующих </w:t>
      </w:r>
      <w:r w:rsidR="005D0CF8">
        <w:t>организац</w:t>
      </w:r>
      <w:r w:rsidR="00B54B7A">
        <w:t>ий: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 xml:space="preserve">ОАО </w:t>
      </w:r>
      <w:r>
        <w:t>«</w:t>
      </w:r>
      <w:r w:rsidRPr="005D0CF8">
        <w:t>БПС-Сбербанк</w:t>
      </w:r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 xml:space="preserve">ОАО </w:t>
      </w:r>
      <w:r>
        <w:t>«</w:t>
      </w:r>
      <w:r w:rsidRPr="005D0CF8">
        <w:t>Белгазпромбанк</w:t>
      </w:r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>ЗАО Банк ВТБ (Беларусь)</w:t>
      </w:r>
      <w:r>
        <w:t>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 xml:space="preserve">ЗАО </w:t>
      </w:r>
      <w:r>
        <w:t>«</w:t>
      </w:r>
      <w:r w:rsidRPr="005D0CF8">
        <w:t>Альфа</w:t>
      </w:r>
      <w:r>
        <w:t>-</w:t>
      </w:r>
      <w:r w:rsidRPr="005D0CF8">
        <w:t>Банк</w:t>
      </w:r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>– «</w:t>
      </w:r>
      <w:r w:rsidRPr="005D0CF8">
        <w:t>Приорбанк</w:t>
      </w:r>
      <w:r>
        <w:t>»</w:t>
      </w:r>
      <w:r w:rsidRPr="005D0CF8">
        <w:t xml:space="preserve"> ОАО</w:t>
      </w:r>
      <w:r>
        <w:t>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«АСБ Беларусбанк»;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 w:rsidRPr="005D0CF8">
        <w:t xml:space="preserve">ОАО </w:t>
      </w:r>
      <w:r>
        <w:t>«</w:t>
      </w:r>
      <w:r w:rsidRPr="005D0CF8">
        <w:t>Белагропромбанк</w:t>
      </w:r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 w:rsidRPr="005D0CF8">
        <w:t xml:space="preserve">ОАО </w:t>
      </w:r>
      <w:r>
        <w:t>«</w:t>
      </w:r>
      <w:r w:rsidRPr="005D0CF8">
        <w:t>Банк БелВЭБ</w:t>
      </w:r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 w:rsidRPr="005D0CF8">
        <w:t xml:space="preserve">ОАО </w:t>
      </w:r>
      <w:r>
        <w:t>«</w:t>
      </w:r>
      <w:r w:rsidRPr="005D0CF8">
        <w:t>Белинвестбанк</w:t>
      </w:r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>
        <w:t>РУСП «Белгосстрах»;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>–  ООО «Могилеваудит»;</w:t>
      </w:r>
    </w:p>
    <w:p w:rsidR="00EE7027" w:rsidRDefault="00EE7027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709" w:firstLine="0"/>
        <w:jc w:val="both"/>
      </w:pPr>
      <w:r>
        <w:t>ОАО «Бабушкина крынка»</w:t>
      </w:r>
      <w:r w:rsidR="005D0CF8" w:rsidRPr="005D0CF8">
        <w:t xml:space="preserve"> </w:t>
      </w:r>
      <w:r w:rsidR="005D0CF8">
        <w:t>–</w:t>
      </w:r>
      <w:r w:rsidR="005D0CF8" w:rsidRPr="005D0CF8">
        <w:t xml:space="preserve"> управляющая компания холдинга </w:t>
      </w:r>
      <w:r w:rsidR="005D0CF8">
        <w:t>«</w:t>
      </w:r>
      <w:r w:rsidR="005D0CF8" w:rsidRPr="005D0CF8">
        <w:t>Могилевская молочная компания «Бабушкина крынка»</w:t>
      </w:r>
      <w:r>
        <w:t>;</w:t>
      </w:r>
    </w:p>
    <w:p w:rsidR="00EE7027" w:rsidRDefault="00EE7027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>
        <w:t>ОАО «</w:t>
      </w:r>
      <w:r w:rsidR="005D0CF8" w:rsidRPr="005D0CF8">
        <w:t>Могилевский завод лифтового машиностроения</w:t>
      </w:r>
      <w:r>
        <w:t>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«Лента»;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завод «Электродвигатель»;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металлургический завод»;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ЗАО «Могилевский КСИ»;</w:t>
      </w:r>
    </w:p>
    <w:p w:rsidR="00EE7027" w:rsidRDefault="005D0CF8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«Ольса».</w:t>
      </w:r>
    </w:p>
    <w:p w:rsidR="00EE7027" w:rsidRPr="00EE7027" w:rsidRDefault="00EE7027" w:rsidP="00E426A1">
      <w:pPr>
        <w:pStyle w:val="a9"/>
        <w:widowControl w:val="0"/>
        <w:ind w:firstLine="709"/>
        <w:jc w:val="both"/>
        <w:rPr>
          <w:lang w:val="en-US"/>
        </w:rPr>
      </w:pPr>
    </w:p>
    <w:p w:rsidR="00783F90" w:rsidRPr="00EE7027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E7027">
        <w:rPr>
          <w:b/>
          <w:bCs/>
        </w:rPr>
        <w:t>Лаборатории и оборудование</w:t>
      </w:r>
    </w:p>
    <w:p w:rsidR="00C91CE7" w:rsidRPr="00D71262" w:rsidRDefault="00C91CE7" w:rsidP="00E426A1">
      <w:pPr>
        <w:pStyle w:val="a9"/>
        <w:widowControl w:val="0"/>
        <w:ind w:firstLine="709"/>
        <w:jc w:val="both"/>
      </w:pPr>
      <w:r w:rsidRPr="00D71262">
        <w:t xml:space="preserve">Для реализации ОП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E32DFC" w:rsidRDefault="00FE10FE" w:rsidP="00B54B7A">
      <w:pPr>
        <w:widowControl w:val="0"/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="00B22633">
        <w:t>компьютерные классы</w:t>
      </w:r>
      <w:r w:rsidRPr="00E32DFC">
        <w:t xml:space="preserve">. </w:t>
      </w:r>
      <w:r w:rsidR="00B54B7A"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университета.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Профессорско-преподавательский состав</w:t>
      </w:r>
    </w:p>
    <w:p w:rsidR="00FE10FE" w:rsidRPr="00102476" w:rsidRDefault="00FE10FE" w:rsidP="00E426A1">
      <w:pPr>
        <w:pStyle w:val="12"/>
        <w:widowControl w:val="0"/>
        <w:rPr>
          <w:sz w:val="24"/>
          <w:szCs w:val="24"/>
        </w:rPr>
      </w:pPr>
      <w:r w:rsidRPr="003B2D5B">
        <w:rPr>
          <w:sz w:val="24"/>
          <w:szCs w:val="24"/>
        </w:rPr>
        <w:t xml:space="preserve">Для обеспечения образовательного процесса по направлению </w:t>
      </w:r>
      <w:r w:rsidR="003B2D5B">
        <w:rPr>
          <w:spacing w:val="-3"/>
          <w:sz w:val="24"/>
          <w:szCs w:val="24"/>
        </w:rPr>
        <w:t>38</w:t>
      </w:r>
      <w:r w:rsidRPr="003B2D5B">
        <w:rPr>
          <w:spacing w:val="-3"/>
          <w:sz w:val="24"/>
          <w:szCs w:val="24"/>
        </w:rPr>
        <w:t>.04.0</w:t>
      </w:r>
      <w:r w:rsidR="0065222E">
        <w:rPr>
          <w:spacing w:val="-3"/>
          <w:sz w:val="24"/>
          <w:szCs w:val="24"/>
        </w:rPr>
        <w:t>8</w:t>
      </w:r>
      <w:r w:rsidRPr="003B2D5B">
        <w:rPr>
          <w:spacing w:val="-3"/>
          <w:sz w:val="24"/>
          <w:szCs w:val="24"/>
        </w:rPr>
        <w:t xml:space="preserve"> «</w:t>
      </w:r>
      <w:r w:rsidR="0065222E">
        <w:rPr>
          <w:spacing w:val="-3"/>
          <w:sz w:val="24"/>
          <w:szCs w:val="24"/>
        </w:rPr>
        <w:t>Ф</w:t>
      </w:r>
      <w:r w:rsidR="0065222E" w:rsidRPr="00E132F3">
        <w:rPr>
          <w:spacing w:val="-3"/>
          <w:sz w:val="24"/>
          <w:szCs w:val="24"/>
        </w:rPr>
        <w:t>инансы и кредит</w:t>
      </w:r>
      <w:r w:rsidRPr="003B2D5B">
        <w:rPr>
          <w:sz w:val="24"/>
          <w:szCs w:val="24"/>
        </w:rPr>
        <w:t>» создан стабильный коллектив высокопрофессиональных педагогов и опытных специалистов. Общая численность преподавателей, привлекаемых к реализации образовательной про</w:t>
      </w:r>
      <w:r w:rsidRPr="00102476">
        <w:rPr>
          <w:sz w:val="24"/>
          <w:szCs w:val="24"/>
        </w:rPr>
        <w:t xml:space="preserve">граммы, составляет </w:t>
      </w:r>
      <w:r w:rsidR="00102476" w:rsidRPr="00102476">
        <w:rPr>
          <w:sz w:val="24"/>
          <w:szCs w:val="24"/>
        </w:rPr>
        <w:t>11</w:t>
      </w:r>
      <w:r w:rsidRPr="00102476">
        <w:rPr>
          <w:sz w:val="24"/>
          <w:szCs w:val="24"/>
        </w:rPr>
        <w:t xml:space="preserve"> человек. Из них лиц</w:t>
      </w:r>
      <w:r w:rsidR="003B2D5B" w:rsidRPr="00102476">
        <w:rPr>
          <w:sz w:val="24"/>
          <w:szCs w:val="24"/>
        </w:rPr>
        <w:t xml:space="preserve">а, имеющие ученую степень доктора наук – 1 человек, кандидата наук – </w:t>
      </w:r>
      <w:r w:rsidR="004D5CB7">
        <w:rPr>
          <w:sz w:val="24"/>
          <w:szCs w:val="24"/>
        </w:rPr>
        <w:t>8</w:t>
      </w:r>
      <w:r w:rsidR="003B2D5B" w:rsidRPr="00102476">
        <w:rPr>
          <w:sz w:val="24"/>
          <w:szCs w:val="24"/>
        </w:rPr>
        <w:t xml:space="preserve"> человек; работники организаций, деятельность которых связана с направленностью реализуемой программы, – </w:t>
      </w:r>
      <w:r w:rsidR="00134B34">
        <w:rPr>
          <w:sz w:val="24"/>
          <w:szCs w:val="24"/>
        </w:rPr>
        <w:t>1</w:t>
      </w:r>
      <w:r w:rsidR="003B2D5B" w:rsidRPr="00102476">
        <w:rPr>
          <w:sz w:val="24"/>
          <w:szCs w:val="24"/>
        </w:rPr>
        <w:t xml:space="preserve"> человек</w:t>
      </w:r>
      <w:r w:rsidR="00102476" w:rsidRPr="00102476">
        <w:rPr>
          <w:sz w:val="24"/>
          <w:szCs w:val="24"/>
        </w:rPr>
        <w:t xml:space="preserve"> (кандидат наук)</w:t>
      </w:r>
      <w:r w:rsidR="003B2D5B" w:rsidRPr="00102476">
        <w:rPr>
          <w:sz w:val="24"/>
          <w:szCs w:val="24"/>
        </w:rPr>
        <w:t>; научный работник – 1 человек</w:t>
      </w:r>
      <w:r w:rsidRPr="00102476">
        <w:rPr>
          <w:sz w:val="24"/>
          <w:szCs w:val="24"/>
        </w:rPr>
        <w:t>.</w:t>
      </w:r>
    </w:p>
    <w:p w:rsidR="003B2D5B" w:rsidRPr="00102476" w:rsidRDefault="00234507" w:rsidP="00E426A1">
      <w:pPr>
        <w:pStyle w:val="12"/>
        <w:widowControl w:val="0"/>
        <w:rPr>
          <w:sz w:val="24"/>
          <w:szCs w:val="24"/>
        </w:rPr>
      </w:pPr>
      <w:r w:rsidRPr="00102476">
        <w:rPr>
          <w:sz w:val="24"/>
          <w:szCs w:val="24"/>
        </w:rPr>
        <w:t>Доля научно-педагогических работников (в приведенных к целочисленным значениям ставок):</w:t>
      </w:r>
    </w:p>
    <w:p w:rsidR="00234507" w:rsidRPr="00102476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02476">
        <w:rPr>
          <w:spacing w:val="-4"/>
        </w:rPr>
        <w:t>имеющих образование, соответствующее профилю преподаваемых дисциплин</w:t>
      </w:r>
      <w:r w:rsidRPr="00102476">
        <w:t xml:space="preserve">, – </w:t>
      </w:r>
      <w:r w:rsidR="000E017B">
        <w:t>88,45</w:t>
      </w:r>
      <w:r w:rsidRPr="00102476">
        <w:t>%;</w:t>
      </w:r>
    </w:p>
    <w:p w:rsidR="00234507" w:rsidRPr="00102476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02476">
        <w:t xml:space="preserve">имеющих ученую степень – </w:t>
      </w:r>
      <w:r w:rsidR="00102476" w:rsidRPr="00102476">
        <w:t>95</w:t>
      </w:r>
      <w:r w:rsidR="000E017B">
        <w:t>,56</w:t>
      </w:r>
      <w:r w:rsidRPr="00102476">
        <w:t> %;</w:t>
      </w:r>
    </w:p>
    <w:p w:rsidR="00234507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02476">
        <w:lastRenderedPageBreak/>
        <w:t xml:space="preserve">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– </w:t>
      </w:r>
      <w:r w:rsidR="004D5CB7">
        <w:t>17,77</w:t>
      </w:r>
      <w:r w:rsidRPr="00102476">
        <w:t> %.</w:t>
      </w:r>
    </w:p>
    <w:p w:rsidR="00723226" w:rsidRPr="00102476" w:rsidRDefault="00723226" w:rsidP="00723226">
      <w:pPr>
        <w:widowControl w:val="0"/>
        <w:tabs>
          <w:tab w:val="left" w:pos="993"/>
        </w:tabs>
        <w:ind w:left="709"/>
        <w:jc w:val="both"/>
      </w:pPr>
    </w:p>
    <w:p w:rsidR="00783F90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Трудоустройство</w:t>
      </w:r>
    </w:p>
    <w:p w:rsidR="00963606" w:rsidRDefault="00963606" w:rsidP="00E426A1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 w:rsidRPr="00963606">
        <w:rPr>
          <w:color w:val="000000"/>
          <w:lang w:eastAsia="be-BY"/>
        </w:rPr>
        <w:t>Потребность в высококвалифицированных экономистах, владеющих навыками организации и управления корпоративными финансами</w:t>
      </w:r>
      <w:r>
        <w:rPr>
          <w:color w:val="000000"/>
          <w:lang w:eastAsia="be-BY"/>
        </w:rPr>
        <w:t xml:space="preserve"> в современных условиях, </w:t>
      </w:r>
      <w:r w:rsidRPr="00963606">
        <w:rPr>
          <w:color w:val="000000"/>
          <w:lang w:eastAsia="be-BY"/>
        </w:rPr>
        <w:t>способствует успешному трудоустройству выпускников магистерской программы</w:t>
      </w:r>
      <w:r>
        <w:rPr>
          <w:color w:val="000000"/>
          <w:lang w:eastAsia="be-BY"/>
        </w:rPr>
        <w:t>:</w:t>
      </w:r>
      <w:r w:rsidR="001502EC">
        <w:rPr>
          <w:color w:val="000000"/>
          <w:lang w:eastAsia="be-BY"/>
        </w:rPr>
        <w:t xml:space="preserve"> 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 xml:space="preserve">в экономические, финансовые, инвестиционные подразделения </w:t>
      </w:r>
      <w:r>
        <w:rPr>
          <w:color w:val="000000"/>
          <w:lang w:eastAsia="be-BY"/>
        </w:rPr>
        <w:t>организац</w:t>
      </w:r>
      <w:r w:rsidRPr="00963606">
        <w:rPr>
          <w:color w:val="000000"/>
          <w:lang w:eastAsia="be-BY"/>
        </w:rPr>
        <w:t>ий реального сектора экономики;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>в инвестиционные</w:t>
      </w:r>
      <w:r>
        <w:rPr>
          <w:color w:val="000000"/>
          <w:lang w:eastAsia="be-BY"/>
        </w:rPr>
        <w:t xml:space="preserve"> и финансовые организации</w:t>
      </w:r>
      <w:r w:rsidRPr="00963606">
        <w:rPr>
          <w:color w:val="000000"/>
          <w:lang w:eastAsia="be-BY"/>
        </w:rPr>
        <w:t>;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 xml:space="preserve">в консалтинговые и аудиторские </w:t>
      </w:r>
      <w:r>
        <w:rPr>
          <w:color w:val="000000"/>
          <w:lang w:eastAsia="be-BY"/>
        </w:rPr>
        <w:t>организац</w:t>
      </w:r>
      <w:r w:rsidRPr="00963606">
        <w:rPr>
          <w:color w:val="000000"/>
          <w:lang w:eastAsia="be-BY"/>
        </w:rPr>
        <w:t>ии</w:t>
      </w:r>
      <w:r>
        <w:rPr>
          <w:color w:val="000000"/>
          <w:lang w:eastAsia="be-BY"/>
        </w:rPr>
        <w:t>;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>в организации банковского сектора.</w:t>
      </w:r>
    </w:p>
    <w:sectPr w:rsidR="00963606" w:rsidRPr="00963606" w:rsidSect="005E2F3D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86" w:rsidRDefault="008A5286">
      <w:r>
        <w:separator/>
      </w:r>
    </w:p>
  </w:endnote>
  <w:endnote w:type="continuationSeparator" w:id="0">
    <w:p w:rsidR="008A5286" w:rsidRDefault="008A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B22633" w:rsidRDefault="00634BD6">
        <w:pPr>
          <w:pStyle w:val="a6"/>
          <w:jc w:val="right"/>
        </w:pPr>
        <w:r>
          <w:fldChar w:fldCharType="begin"/>
        </w:r>
        <w:r w:rsidR="00E74D19">
          <w:instrText xml:space="preserve"> PAGE   \* MERGEFORMAT </w:instrText>
        </w:r>
        <w:r>
          <w:fldChar w:fldCharType="separate"/>
        </w:r>
        <w:r w:rsidR="00D003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633" w:rsidRDefault="00B22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86" w:rsidRDefault="008A5286">
      <w:r>
        <w:separator/>
      </w:r>
    </w:p>
  </w:footnote>
  <w:footnote w:type="continuationSeparator" w:id="0">
    <w:p w:rsidR="008A5286" w:rsidRDefault="008A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634BD6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33" w:rsidRDefault="00B22633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B22633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522E63FA"/>
    <w:multiLevelType w:val="hybridMultilevel"/>
    <w:tmpl w:val="5D74AE58"/>
    <w:lvl w:ilvl="0" w:tplc="D964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404294"/>
    <w:multiLevelType w:val="hybridMultilevel"/>
    <w:tmpl w:val="DBDC0BE6"/>
    <w:lvl w:ilvl="0" w:tplc="528674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0"/>
    <w:rsid w:val="00036506"/>
    <w:rsid w:val="00051CE5"/>
    <w:rsid w:val="00072254"/>
    <w:rsid w:val="000B3B9A"/>
    <w:rsid w:val="000D4FD1"/>
    <w:rsid w:val="000E017B"/>
    <w:rsid w:val="001006AE"/>
    <w:rsid w:val="001019D5"/>
    <w:rsid w:val="00102476"/>
    <w:rsid w:val="001037B1"/>
    <w:rsid w:val="001115A0"/>
    <w:rsid w:val="00134B34"/>
    <w:rsid w:val="00142BF5"/>
    <w:rsid w:val="0014452D"/>
    <w:rsid w:val="001502EC"/>
    <w:rsid w:val="00186111"/>
    <w:rsid w:val="00190D52"/>
    <w:rsid w:val="001A44F2"/>
    <w:rsid w:val="001D1B95"/>
    <w:rsid w:val="001E29AB"/>
    <w:rsid w:val="001E7550"/>
    <w:rsid w:val="001E7C7C"/>
    <w:rsid w:val="00232B7D"/>
    <w:rsid w:val="00234507"/>
    <w:rsid w:val="00250504"/>
    <w:rsid w:val="0026166F"/>
    <w:rsid w:val="002709C9"/>
    <w:rsid w:val="00285149"/>
    <w:rsid w:val="00293998"/>
    <w:rsid w:val="0029732E"/>
    <w:rsid w:val="002C4FAD"/>
    <w:rsid w:val="002D6291"/>
    <w:rsid w:val="0031093C"/>
    <w:rsid w:val="00324F51"/>
    <w:rsid w:val="00354628"/>
    <w:rsid w:val="00362CEF"/>
    <w:rsid w:val="00392497"/>
    <w:rsid w:val="003A31F1"/>
    <w:rsid w:val="003B2D5B"/>
    <w:rsid w:val="00400834"/>
    <w:rsid w:val="00434085"/>
    <w:rsid w:val="00452551"/>
    <w:rsid w:val="0046348F"/>
    <w:rsid w:val="00471847"/>
    <w:rsid w:val="00487ECB"/>
    <w:rsid w:val="004B381F"/>
    <w:rsid w:val="004C018B"/>
    <w:rsid w:val="004C52D3"/>
    <w:rsid w:val="004D5CB7"/>
    <w:rsid w:val="004F1572"/>
    <w:rsid w:val="005130FD"/>
    <w:rsid w:val="005133D9"/>
    <w:rsid w:val="005237B8"/>
    <w:rsid w:val="00565BE6"/>
    <w:rsid w:val="0058502D"/>
    <w:rsid w:val="005D0CF8"/>
    <w:rsid w:val="005E2F3D"/>
    <w:rsid w:val="005F0B61"/>
    <w:rsid w:val="005F1BD0"/>
    <w:rsid w:val="005F20A3"/>
    <w:rsid w:val="00632C7B"/>
    <w:rsid w:val="00634BD6"/>
    <w:rsid w:val="0064354B"/>
    <w:rsid w:val="0065222E"/>
    <w:rsid w:val="006743F1"/>
    <w:rsid w:val="006F6BF7"/>
    <w:rsid w:val="00723226"/>
    <w:rsid w:val="00734A4F"/>
    <w:rsid w:val="0076260A"/>
    <w:rsid w:val="00783F90"/>
    <w:rsid w:val="00797011"/>
    <w:rsid w:val="007E1A31"/>
    <w:rsid w:val="0080204F"/>
    <w:rsid w:val="008265E2"/>
    <w:rsid w:val="00826D03"/>
    <w:rsid w:val="00845F17"/>
    <w:rsid w:val="008843F5"/>
    <w:rsid w:val="00893F54"/>
    <w:rsid w:val="008A5286"/>
    <w:rsid w:val="00963606"/>
    <w:rsid w:val="00964643"/>
    <w:rsid w:val="00973A7D"/>
    <w:rsid w:val="009853C8"/>
    <w:rsid w:val="009F0673"/>
    <w:rsid w:val="009F53D4"/>
    <w:rsid w:val="00A07C69"/>
    <w:rsid w:val="00A41C85"/>
    <w:rsid w:val="00A566A7"/>
    <w:rsid w:val="00AA150B"/>
    <w:rsid w:val="00AA5D98"/>
    <w:rsid w:val="00AD2EF3"/>
    <w:rsid w:val="00AF39A3"/>
    <w:rsid w:val="00B22633"/>
    <w:rsid w:val="00B42525"/>
    <w:rsid w:val="00B4632F"/>
    <w:rsid w:val="00B54B7A"/>
    <w:rsid w:val="00BD2A48"/>
    <w:rsid w:val="00C061C2"/>
    <w:rsid w:val="00C60756"/>
    <w:rsid w:val="00C82005"/>
    <w:rsid w:val="00C907F0"/>
    <w:rsid w:val="00C91CE7"/>
    <w:rsid w:val="00CB61D3"/>
    <w:rsid w:val="00CC2780"/>
    <w:rsid w:val="00CE0723"/>
    <w:rsid w:val="00D00367"/>
    <w:rsid w:val="00D009C9"/>
    <w:rsid w:val="00D06BFC"/>
    <w:rsid w:val="00D357A2"/>
    <w:rsid w:val="00D42348"/>
    <w:rsid w:val="00D42DDD"/>
    <w:rsid w:val="00D56E0D"/>
    <w:rsid w:val="00D612D2"/>
    <w:rsid w:val="00D66937"/>
    <w:rsid w:val="00D71262"/>
    <w:rsid w:val="00D74988"/>
    <w:rsid w:val="00E0134D"/>
    <w:rsid w:val="00E33097"/>
    <w:rsid w:val="00E4235D"/>
    <w:rsid w:val="00E426A1"/>
    <w:rsid w:val="00E7229B"/>
    <w:rsid w:val="00E72E69"/>
    <w:rsid w:val="00E74D19"/>
    <w:rsid w:val="00E9238E"/>
    <w:rsid w:val="00EA6663"/>
    <w:rsid w:val="00EA72D7"/>
    <w:rsid w:val="00ED5062"/>
    <w:rsid w:val="00EE7027"/>
    <w:rsid w:val="00F51384"/>
    <w:rsid w:val="00F54E86"/>
    <w:rsid w:val="00F64FF3"/>
    <w:rsid w:val="00F84ACE"/>
    <w:rsid w:val="00F87482"/>
    <w:rsid w:val="00FE10FE"/>
    <w:rsid w:val="00FE184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F208-2146-4749-A788-05AAB29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BD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77CE-7DE3-43D5-B594-35D10D0B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2</cp:revision>
  <dcterms:created xsi:type="dcterms:W3CDTF">2018-10-18T12:51:00Z</dcterms:created>
  <dcterms:modified xsi:type="dcterms:W3CDTF">2018-10-18T12:51:00Z</dcterms:modified>
</cp:coreProperties>
</file>