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4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CC407F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</w:p>
    <w:p w:rsidR="009D7184" w:rsidRPr="00C219D0" w:rsidRDefault="009D7184" w:rsidP="009D7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.03.0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МЕХАТРОНИКА И РОБОТОТЕХНИКА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Робототехника и робототехнические системы: разработка и применение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219D0">
        <w:rPr>
          <w:rFonts w:ascii="Times New Roman" w:hAnsi="Times New Roman" w:cs="Times New Roman"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Pr="00C219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C219D0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r w:rsidR="008A705A" w:rsidRPr="00C219D0">
        <w:rPr>
          <w:rFonts w:ascii="Times New Roman" w:hAnsi="Times New Roman" w:cs="Times New Roman"/>
          <w:sz w:val="24"/>
          <w:szCs w:val="24"/>
        </w:rPr>
        <w:t>Шеменков Владимир Михайлович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02" w:rsidRDefault="00516502" w:rsidP="00516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E61BB1" w:rsidRPr="00C219D0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C219D0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2A7" w:rsidRPr="00C219D0">
        <w:rPr>
          <w:rFonts w:ascii="Times New Roman" w:hAnsi="Times New Roman" w:cs="Times New Roman"/>
          <w:bCs/>
          <w:sz w:val="24"/>
          <w:szCs w:val="24"/>
        </w:rPr>
        <w:t>мехатроники и робототехники</w:t>
      </w:r>
      <w:r w:rsidRPr="00C219D0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C219D0">
        <w:rPr>
          <w:rFonts w:ascii="Times New Roman" w:hAnsi="Times New Roman" w:cs="Times New Roman"/>
          <w:sz w:val="24"/>
          <w:szCs w:val="24"/>
        </w:rPr>
        <w:t>я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робототехника и робототехнические системы: разработка и применение</w:t>
      </w:r>
      <w:r w:rsidRPr="00C219D0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C219D0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роботов и робототехнических систем</w:t>
      </w:r>
      <w:r w:rsidRPr="00C219D0">
        <w:rPr>
          <w:rFonts w:ascii="Times New Roman" w:hAnsi="Times New Roman" w:cs="Times New Roman"/>
          <w:sz w:val="24"/>
          <w:szCs w:val="24"/>
        </w:rPr>
        <w:t xml:space="preserve">, ими </w:t>
      </w:r>
      <w:r w:rsidR="00CC407F" w:rsidRPr="00C219D0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743307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307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Pr="00743307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3307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 w:rsidRPr="00743307">
        <w:rPr>
          <w:rFonts w:ascii="Times New Roman" w:hAnsi="Times New Roman"/>
          <w:sz w:val="24"/>
          <w:szCs w:val="24"/>
        </w:rPr>
        <w:t>40</w:t>
      </w:r>
      <w:r w:rsidRPr="00743307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 w:rsidRPr="00743307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Pr="00C219D0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70" w:rsidRPr="00C219D0" w:rsidRDefault="00B15670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 </w:t>
      </w:r>
    </w:p>
    <w:p w:rsidR="00863010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863010" w:rsidRPr="00C219D0">
        <w:rPr>
          <w:rFonts w:ascii="Times New Roman" w:hAnsi="Times New Roman" w:cs="Times New Roman"/>
          <w:sz w:val="24"/>
          <w:szCs w:val="24"/>
        </w:rPr>
        <w:t>:</w:t>
      </w:r>
    </w:p>
    <w:p w:rsidR="00A33A3C" w:rsidRPr="00C219D0" w:rsidRDefault="0070263E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1 «Дисциплины (модули)» - 21</w:t>
      </w:r>
      <w:r w:rsidR="00EE1F34" w:rsidRPr="00C219D0">
        <w:rPr>
          <w:rFonts w:ascii="Times New Roman" w:hAnsi="Times New Roman" w:cs="Times New Roman"/>
          <w:sz w:val="24"/>
          <w:szCs w:val="24"/>
        </w:rPr>
        <w:t>3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</w:t>
      </w:r>
    </w:p>
    <w:p w:rsidR="00A33A3C" w:rsidRPr="00C219D0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- </w:t>
      </w:r>
      <w:r w:rsidR="008E0245" w:rsidRPr="00C219D0">
        <w:rPr>
          <w:rFonts w:ascii="Times New Roman" w:hAnsi="Times New Roman" w:cs="Times New Roman"/>
          <w:sz w:val="24"/>
          <w:szCs w:val="24"/>
        </w:rPr>
        <w:t>базовая часть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8E0245" w:rsidRPr="00C219D0">
        <w:rPr>
          <w:rFonts w:ascii="Times New Roman" w:hAnsi="Times New Roman" w:cs="Times New Roman"/>
          <w:sz w:val="24"/>
          <w:szCs w:val="24"/>
        </w:rPr>
        <w:t>11</w:t>
      </w:r>
      <w:r w:rsidR="00EE1F34" w:rsidRPr="00C219D0">
        <w:rPr>
          <w:rFonts w:ascii="Times New Roman" w:hAnsi="Times New Roman" w:cs="Times New Roman"/>
          <w:sz w:val="24"/>
          <w:szCs w:val="24"/>
        </w:rPr>
        <w:t>0</w:t>
      </w:r>
      <w:r w:rsidRPr="00C219D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.);</w:t>
      </w:r>
    </w:p>
    <w:p w:rsidR="00A33A3C" w:rsidRPr="00C219D0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0245" w:rsidRPr="00C219D0">
        <w:rPr>
          <w:rFonts w:ascii="Times New Roman" w:hAnsi="Times New Roman" w:cs="Times New Roman"/>
          <w:sz w:val="24"/>
          <w:szCs w:val="24"/>
        </w:rPr>
        <w:t>вариативная часть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EE1F34" w:rsidRPr="00C219D0">
        <w:rPr>
          <w:rFonts w:ascii="Times New Roman" w:hAnsi="Times New Roman" w:cs="Times New Roman"/>
          <w:sz w:val="24"/>
          <w:szCs w:val="24"/>
        </w:rPr>
        <w:t>103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C219D0" w:rsidRDefault="00A33A3C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- </w:t>
      </w:r>
      <w:r w:rsidR="00EC64F3" w:rsidRPr="00C219D0">
        <w:rPr>
          <w:rFonts w:ascii="Times New Roman" w:hAnsi="Times New Roman" w:cs="Times New Roman"/>
          <w:sz w:val="24"/>
          <w:szCs w:val="24"/>
        </w:rPr>
        <w:t>«Д</w:t>
      </w:r>
      <w:r w:rsidR="008E0245" w:rsidRPr="00C219D0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EC64F3" w:rsidRPr="00C219D0">
        <w:rPr>
          <w:rFonts w:ascii="Times New Roman" w:hAnsi="Times New Roman" w:cs="Times New Roman"/>
          <w:sz w:val="24"/>
          <w:szCs w:val="24"/>
        </w:rPr>
        <w:t>»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EE1F34" w:rsidRPr="00C219D0">
        <w:rPr>
          <w:rFonts w:ascii="Times New Roman" w:hAnsi="Times New Roman" w:cs="Times New Roman"/>
          <w:sz w:val="24"/>
          <w:szCs w:val="24"/>
        </w:rPr>
        <w:t>31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C219D0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2 «Практики»</w:t>
      </w:r>
      <w:r w:rsidR="00A33A3C" w:rsidRPr="00C219D0">
        <w:rPr>
          <w:rFonts w:ascii="Times New Roman" w:hAnsi="Times New Roman" w:cs="Times New Roman"/>
          <w:sz w:val="24"/>
          <w:szCs w:val="24"/>
        </w:rPr>
        <w:t>- 1</w:t>
      </w:r>
      <w:r w:rsidR="00EE1F34" w:rsidRPr="00C219D0">
        <w:rPr>
          <w:rFonts w:ascii="Times New Roman" w:hAnsi="Times New Roman" w:cs="Times New Roman"/>
          <w:sz w:val="24"/>
          <w:szCs w:val="24"/>
        </w:rPr>
        <w:t>8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C219D0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33A3C" w:rsidRPr="00C219D0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3 «Г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33A3C" w:rsidRPr="00C219D0">
        <w:rPr>
          <w:rFonts w:ascii="Times New Roman" w:hAnsi="Times New Roman" w:cs="Times New Roman"/>
          <w:sz w:val="24"/>
          <w:szCs w:val="24"/>
        </w:rPr>
        <w:t>аттестация</w:t>
      </w:r>
      <w:r w:rsidRPr="00C219D0">
        <w:rPr>
          <w:rFonts w:ascii="Times New Roman" w:hAnsi="Times New Roman" w:cs="Times New Roman"/>
          <w:sz w:val="24"/>
          <w:szCs w:val="24"/>
        </w:rPr>
        <w:t>»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8E0245" w:rsidRPr="00C219D0">
        <w:rPr>
          <w:rFonts w:ascii="Times New Roman" w:hAnsi="Times New Roman" w:cs="Times New Roman"/>
          <w:sz w:val="24"/>
          <w:szCs w:val="24"/>
        </w:rPr>
        <w:t>9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C219D0">
        <w:rPr>
          <w:rFonts w:ascii="Times New Roman" w:hAnsi="Times New Roman" w:cs="Times New Roman"/>
          <w:sz w:val="24"/>
          <w:szCs w:val="24"/>
        </w:rPr>
        <w:t>.</w:t>
      </w:r>
    </w:p>
    <w:p w:rsidR="00077E76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C219D0">
        <w:rPr>
          <w:rFonts w:ascii="Times New Roman" w:hAnsi="Times New Roman" w:cs="Times New Roman"/>
          <w:sz w:val="24"/>
          <w:szCs w:val="24"/>
        </w:rPr>
        <w:t>являются: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 история, иностранный язык, философия, безопасность жизнедеятельности, математика, физика, инженерная графика, экономика, правоведение, физическая культура, информатика, химия, сопротивление материалов, 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компьютерная графика и 3</w:t>
      </w:r>
      <w:r w:rsidR="00EE1F34" w:rsidRPr="00C219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моделирование, теоретические основы электротехники, детали мехатронных моделей, роботов и их конструирование, основы мехатроники и робототехники, </w:t>
      </w:r>
      <w:r w:rsidR="00077E76" w:rsidRPr="00C219D0">
        <w:rPr>
          <w:rFonts w:ascii="Times New Roman" w:hAnsi="Times New Roman" w:cs="Times New Roman"/>
          <w:sz w:val="24"/>
          <w:szCs w:val="24"/>
        </w:rPr>
        <w:t xml:space="preserve">теория автоматического управления, электронные устройства мехатронных и робототехнических систем, микропроцессорная техника в </w:t>
      </w:r>
      <w:proofErr w:type="spellStart"/>
      <w:r w:rsidR="00077E76" w:rsidRPr="00C219D0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="00077E76" w:rsidRPr="00C219D0">
        <w:rPr>
          <w:rFonts w:ascii="Times New Roman" w:hAnsi="Times New Roman" w:cs="Times New Roman"/>
          <w:sz w:val="24"/>
          <w:szCs w:val="24"/>
        </w:rPr>
        <w:t xml:space="preserve"> и робототехнике, программное обеспечение мехатронных и робототехнических систем.</w:t>
      </w:r>
    </w:p>
    <w:p w:rsidR="00A33A3C" w:rsidRPr="00C219D0" w:rsidRDefault="00077E76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8E0245" w:rsidRPr="00C219D0">
        <w:rPr>
          <w:rFonts w:ascii="Times New Roman" w:hAnsi="Times New Roman" w:cs="Times New Roman"/>
          <w:sz w:val="24"/>
          <w:szCs w:val="24"/>
        </w:rPr>
        <w:t>Обязательными д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 w:rsidR="008E0245" w:rsidRPr="00C219D0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цикла являются: </w:t>
      </w:r>
      <w:r w:rsidR="008E0245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культура речи, 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управление производством, теоретическая механика, дискретная математика, прикладная механика роботов, прикладная математика, пакет прикладных программ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Matlab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исследований и разработок, моделирование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технологические процессы в машиностроении, электрические приводы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устройств,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устройств,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высокоэффективные технологии и оборудование современных производств, конструирование механизмов роботов, информационные устройства в </w:t>
      </w:r>
      <w:proofErr w:type="spellStart"/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мехатронике</w:t>
      </w:r>
      <w:proofErr w:type="spellEnd"/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технологическим оборудованием, проектирование роботов и робототехнических систем.</w:t>
      </w:r>
    </w:p>
    <w:p w:rsidR="00A33A3C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Дисциплинами по выбору являются: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общения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межличностного общения, программирование и основы алгоритмизации, основы комбинаторики, теория вероятностей и математическая статистика, пакет прикладных программ для анализа данных, </w:t>
      </w:r>
      <w:r w:rsidR="00136B92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оптимизации, нечеткая логика и искусственные нейронные сети</w:t>
      </w:r>
      <w:r w:rsidR="004C4ECB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B92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экспериментальных исследований, информационные технологии, метрология, стандартизация и сертификация, </w:t>
      </w:r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взаимозаменяемости, микропроцессорные устройства управления робототехнических систем, силовая электроника, </w:t>
      </w:r>
      <w:proofErr w:type="spellStart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мехатронные</w:t>
      </w:r>
      <w:proofErr w:type="spellEnd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роботов, технология роботизированного производства, экспериментальные исследования робототехнических систем, защита интеллектуальной собственности и </w:t>
      </w:r>
      <w:proofErr w:type="spellStart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патентоведение</w:t>
      </w:r>
      <w:proofErr w:type="spellEnd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САПР робототехнических систем, методы искусственного интеллекта в робототехнике,</w:t>
      </w:r>
      <w:r w:rsidR="004C4ECB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 по физической культуре,</w:t>
      </w:r>
    </w:p>
    <w:p w:rsidR="009D7184" w:rsidRPr="009D7184" w:rsidRDefault="009D7184" w:rsidP="009D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184"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9D7184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</w:rPr>
        <w:t>, вторую производственную</w:t>
      </w:r>
      <w:r w:rsidRPr="009D7184"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A33A3C" w:rsidRPr="00C219D0" w:rsidRDefault="004C4ECB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A33A3C" w:rsidRPr="00C219D0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C219D0" w:rsidRDefault="00CC407F" w:rsidP="009D7184">
      <w:pPr>
        <w:pStyle w:val="Style13"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0E4DC7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проектирование, исследование, производство и эксплуатацию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мехатронных и робототехнических систем для применения в </w:t>
      </w:r>
      <w:r w:rsidR="001F270E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автоматизированном производстве, в оборонной отрасли, Министерстве внутренних 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сельском хозяйстве, в медицине и в других областях.  </w:t>
      </w:r>
    </w:p>
    <w:p w:rsidR="00CC407F" w:rsidRPr="00C219D0" w:rsidRDefault="00CC407F" w:rsidP="009D7184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13091F" w:rsidRPr="00C219D0" w:rsidRDefault="00CC407F" w:rsidP="009D7184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 w:rsidRPr="00C219D0">
        <w:rPr>
          <w:rStyle w:val="FontStyle44"/>
          <w:sz w:val="24"/>
          <w:szCs w:val="24"/>
        </w:rPr>
        <w:t xml:space="preserve"> </w:t>
      </w:r>
      <w:proofErr w:type="spellStart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методы и средства их проектирования, моделирования, экспериментального исследования, отладки и эксплуатации, научные исследования и производственные испытания мехатронных и робототехнических систем, имеющих различные области применения.</w:t>
      </w:r>
    </w:p>
    <w:p w:rsidR="00CC407F" w:rsidRPr="00C219D0" w:rsidRDefault="00CC407F" w:rsidP="009D7184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проектно-конструкторская;</w:t>
      </w:r>
    </w:p>
    <w:p w:rsidR="0013091F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эксплуатационная;</w:t>
      </w:r>
    </w:p>
    <w:p w:rsidR="006663F1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-эксплуатационная.</w:t>
      </w: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</w:t>
      </w:r>
      <w:r w:rsidR="006663F1" w:rsidRPr="00C219D0">
        <w:rPr>
          <w:rStyle w:val="FontStyle44"/>
          <w:sz w:val="24"/>
          <w:szCs w:val="24"/>
        </w:rPr>
        <w:t>, в соответствии с видами профессиональной деятельности,</w:t>
      </w:r>
      <w:r w:rsidRPr="00C219D0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C219D0" w:rsidRDefault="005B0757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b/>
          <w:i/>
          <w:sz w:val="24"/>
          <w:szCs w:val="24"/>
        </w:rPr>
      </w:pPr>
      <w:r w:rsidRPr="00C219D0">
        <w:rPr>
          <w:rStyle w:val="FontStyle44"/>
          <w:b/>
          <w:i/>
          <w:sz w:val="24"/>
          <w:szCs w:val="24"/>
        </w:rPr>
        <w:t>научно-исследовательская деятельность: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анализ научно-технической информации, отечественного и зарубежного опыта в области разработки и исследования мехатронных и робототехнических систем;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составление обзоров и рефератов;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теоретических и экспериментальных исследований с целью исследования, разработки новых образцов и совершенствования существующих мехатронных и робототехнических систем, их модулей и подсистем;</w:t>
      </w:r>
    </w:p>
    <w:p w:rsidR="00CB7B15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патентных исследований, сопровождающих разработку новых мехатронных и робототехнических систем, с целью защиты объектов интеллектуальной собственности, результатов исследований и разработок;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разработка математических моделей роботов, мехатронных и робототехнических систем, их отдельных подсистем и модулей, проведение их исследования с помощью математического моделирования, с применением как специальных, так и универсальных программных средств, с целью обоснования принятых теоретических и конструктивных решений;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участие в работах по организации и проведению экспериментов на действующих объектах и экспериментальных макетах мехатронных и робототехнических систем, их подсистем и отдельных модулей, обработка результатов экспериментальных исследований с применением современных информационных технологий;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составе коллектива исполнителей в проведении теоретических и экспериментальных исследований с целью исследования, разработки новых образцов и совершенствования существующих модулей и подсистем мехатронных и робототехнических систем; 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подготовка отчетов, научных публикаций и докладов на научных конференциях и семинарах, участие во внедрении результатов исследований и разработок;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проект</w:t>
      </w:r>
      <w:r w:rsidR="005B0757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но-конструкторская деятельность:</w:t>
      </w:r>
    </w:p>
    <w:p w:rsidR="0013091F" w:rsidRPr="00C219D0" w:rsidRDefault="006663F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подготовке технико-экономического обоснования проектов мехатронных и робототехнических систем, их отдельных подсистем и модулей;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расчет и проектирование отдельных блоков и устройств мехатронных и робототехнических систем;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управляющих,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информационно-сенсорных и исполнительных подсистем и мехатронных модулей в соответствии с техническим заданием;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 разработка специального программного обеспечения для решения задач проектирования систем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конструирования механических и мехатронных модулей, управления и обработки информации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анализ технологической части проекта с обоснованием его технологической реализуемости;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разрабатываемого проекта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мехатронной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или робототехнической системы по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его экономической эффективности и необходимому метрологическому обеспечению;</w:t>
      </w:r>
    </w:p>
    <w:p w:rsidR="002E3374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обоснование предлагаемых мер по обеспечению безопасности эксплуатации разрабатываемой системы;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предварительных испытаний составных частей опытного образца изделия по заданным программам и методикам;</w:t>
      </w:r>
    </w:p>
    <w:p w:rsidR="006663F1" w:rsidRPr="00C219D0" w:rsidRDefault="002714F7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 xml:space="preserve">эксплуатационная </w:t>
      </w:r>
      <w:r w:rsidR="006663F1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планирование испытаний модулей и подсистем мехатронных и робототехнических систем, участие в работах по организации и проведению экспериментов на действующих объектах и экспериментальных макетах, обработка результатов экспериментальных исследований с применением современных информационных технологий;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экономической эффективности внедрения проектируемых мехатронных и робототехнических систем, их отдельных модулей и подсистем;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оценка потенциальных опасностей, сопровождающих эксплуатацию разрабатываемых мехатронных и робототехнических систем, обоснование мер по предотвращению таких опасностей;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планирование разработки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организация работы малых групп исполнителей из числа инженерно-технических работников;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по профилактике производственного травматизма, профессиональных заболеваний; 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предотвращение экологических нарушений; </w:t>
      </w:r>
    </w:p>
    <w:p w:rsidR="00CC407F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производственно-технологическая деятельность: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внедрение результатов теоретических разработок в производство мехатронных и робототехнических систем, их подсистем и отдельных модулей;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разработка проектной конструкторской документации технического проекта, включая отдельные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мехатронные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модули, конструктивные элементы мехатронных и робототехнических систем, а также их электрическую и электронную части;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разработка технологической части проекта, составление рабочей документации, участие в технологической подготовке производства, оформление отчетов по законченным проектно-конструкторским работам;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контроль соответствия разрабатываемых проектов и технической документации стандартам, техническим условиям и другим нормативным документам;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участие в организации метрологического обеспечения производства;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обеспечение экологической безопасности проектируемых устройств и систем, а также их производства;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сервисно</w:t>
      </w:r>
      <w:proofErr w:type="spellEnd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-эксплуатационная деятельность: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участие в программировании, отладке, регулировке, настройке мехатронных и робототехнических систем и их подсистем в процессе их эксплуатации;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проведение профилактического контроля технического состояния и функциональной диагностики систем;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составление инструкций по эксплуатации мехатронных и робототехнических систем и разработка программ регламентных испытаний;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составление заявок на оборудование и комплектующие, подготовка технической документации на ремонт оборудования.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E61BB1" w:rsidRPr="00C219D0" w:rsidRDefault="00E61BB1" w:rsidP="009D71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Pr="00C219D0" w:rsidRDefault="004A37E1" w:rsidP="009D7184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общепрофессиональными компетенциями: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(ОПК-1);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физико-математическим аппаратом, необходимым для описания мехатронных и робототехнических систем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(ОПК-2);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(ОПК-3);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(ОПК-4);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(ОПК-5);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(ОПК-6);</w:t>
      </w:r>
    </w:p>
    <w:p w:rsidR="00C45AC1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 </w:t>
      </w:r>
      <w:r w:rsidRPr="00C219D0">
        <w:rPr>
          <w:rStyle w:val="FontStyle44"/>
          <w:rFonts w:eastAsia="Calibri"/>
          <w:sz w:val="24"/>
          <w:szCs w:val="24"/>
        </w:rPr>
        <w:t>(ПК-1);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 </w:t>
      </w:r>
      <w:r w:rsidRPr="00C219D0">
        <w:rPr>
          <w:rStyle w:val="FontStyle44"/>
          <w:rFonts w:eastAsia="Calibri"/>
          <w:sz w:val="24"/>
          <w:szCs w:val="24"/>
        </w:rPr>
        <w:t>(ПК-2);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экспериментальные макеты управляющих, </w:t>
      </w:r>
      <w:r w:rsidR="00D87518" w:rsidRPr="00C219D0">
        <w:rPr>
          <w:rStyle w:val="FontStyle44"/>
          <w:rFonts w:eastAsia="Calibri"/>
          <w:sz w:val="24"/>
          <w:szCs w:val="24"/>
        </w:rPr>
        <w:lastRenderedPageBreak/>
        <w:t xml:space="preserve">информационных и исполнительных модулей мехатронных и робототехнических систем и проводить их экспериментальное исследование с применением современных информационных технологий </w:t>
      </w:r>
      <w:r w:rsidRPr="00C219D0">
        <w:rPr>
          <w:rStyle w:val="FontStyle44"/>
          <w:rFonts w:eastAsia="Calibri"/>
          <w:sz w:val="24"/>
          <w:szCs w:val="24"/>
        </w:rPr>
        <w:t>(ПК-3);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 (ПК-4);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проводить эксперименты на действующих макетах, образцах мехатронных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 (ПК-5);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систем (ПК-6);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(ПК-7);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внедрять результаты исследований и разработок и организовывать защиту прав на объекты интеллектуаль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ной собственности (ПК-8);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участвовать в качестве исполнителя в научно-исследовательских разработках новых робототехнических и мехатронных систем (ПК-9);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подготовке технико-экономического обоснования проектов создания мехатронных и робототехнических систем, их подсистем и отдельных модулей (ПК-10);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  (ПК-11);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разрабатывать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 (ПК-12);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Style w:val="FontStyle44"/>
          <w:rFonts w:eastAsia="Calibri"/>
          <w:sz w:val="24"/>
          <w:szCs w:val="24"/>
        </w:rPr>
        <w:t>мехатронной</w:t>
      </w:r>
      <w:proofErr w:type="spellEnd"/>
      <w:r w:rsidRPr="00C219D0">
        <w:rPr>
          <w:rStyle w:val="FontStyle44"/>
          <w:rFonts w:eastAsia="Calibri"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(ПК-13);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 xml:space="preserve">эксплуатационная деятельность: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планировать проведение испытаний отдельных модулей и подсистем мехатронных и робототехнических систем, участвовать в работах по организации и проведению экспериментов на действующих объектах и экспериментальных макетах, а также в обработке результатов экспериментальных исследований (ПК-14);</w:t>
      </w:r>
    </w:p>
    <w:p w:rsidR="0024264C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проводить обоснованную оценку экономической эффективности внедрения проектируемых мехатронных и робототехнических систем, их отдельны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х модулей и подсистем (ПК-15);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оценивать потенциальные опасности, сопровождающие испытания и эксплуатацию разрабатываемых мехатронных и робототехнических систем, и обосновыв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ать меры по их предотвращению  </w:t>
      </w:r>
      <w:r w:rsidRPr="00C219D0">
        <w:rPr>
          <w:rStyle w:val="FontStyle44"/>
          <w:rFonts w:eastAsia="Calibri"/>
          <w:sz w:val="24"/>
          <w:szCs w:val="24"/>
        </w:rPr>
        <w:t>(ПК-16);</w:t>
      </w:r>
    </w:p>
    <w:p w:rsidR="00C45AC1" w:rsidRPr="00C219D0" w:rsidRDefault="0024264C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организационно-управленческая</w:t>
      </w:r>
      <w:r w:rsidR="00C45AC1" w:rsidRPr="00C219D0">
        <w:rPr>
          <w:rStyle w:val="FontStyle44"/>
          <w:rFonts w:eastAsia="Calibri"/>
          <w:i/>
          <w:sz w:val="24"/>
          <w:szCs w:val="24"/>
        </w:rPr>
        <w:t xml:space="preserve"> деятельность: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и проведению разработки частей организационно-технической документации (графиков работ, инструкций, планов, смет) и установленной отчетности по утвержденным формам (ПК-17); 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работы малых групп исполнителей из числа инженерно-технических работников (ПК-18);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готовностью к организации работы по профилактике производственного травматизма и профессиональных заболеваний, а также по обеспечению предотвращения экологических нарушений  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(ПК-19);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выполнять задания в области сертификации технических средств, систем, процессов, обор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удования и материалов (ПК-20);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Cs/>
          <w:i/>
          <w:sz w:val="24"/>
          <w:szCs w:val="24"/>
        </w:rPr>
        <w:t>производственно</w:t>
      </w:r>
      <w:r w:rsidR="00A96453"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-технологическая деятельность: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готовностью к внедрению результатов разработок мехатронных и робототехнических систем, их подсистем и отдельных м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одулей в производство (ПК-21); </w:t>
      </w:r>
    </w:p>
    <w:p w:rsidR="00CC407F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 (ПК-22);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участию в работах по изготовлению, отладке и сдаче в эксплуатацию мехатронных и робототехнических систем, их подсистем и отдельных модулей (ПК-23);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технологические процессы изготовления, сборки и испытания проектируемых узлов и агрегатов (ПК-24);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организовывать метрологическое обеспечение производства мехатронных и робототехнических систем (ПК-25);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обеспечивать экологическую безопасность проектируемых устройств автоматики и их производства (ПК-26);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Cs/>
          <w:i/>
          <w:sz w:val="24"/>
          <w:szCs w:val="24"/>
        </w:rPr>
        <w:t>сервисно</w:t>
      </w:r>
      <w:proofErr w:type="spellEnd"/>
      <w:r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-эксплуатационная деятельность: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мехатронной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(ПК-27);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 (ПК-28);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настраивать системы управления и обработки информации,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(ПК-29);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осуществлять проверку технического состояния оборудования, производить его профилактический контроль и ремонт путем замены отдельных модулей (ПК-30);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производить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 (ПК-31);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 (ПК-32).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E61BB1" w:rsidRPr="00C219D0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4A37E1" w:rsidRPr="00C219D0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Pr="00C219D0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По всем дисциплинам учебного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 w:rsidRPr="00C219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отрасли, в число которых входят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>ОАО «Могилевский завод лифтового машиностроения», ООО «</w:t>
      </w:r>
      <w:r w:rsidR="0092528A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92528A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lastRenderedPageBreak/>
        <w:t>ОАО Минский автомобильный завод,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«Минский завод колесных тягачей», ПРУП «Минский завод шестерен»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Pr="00C219D0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</w:t>
      </w:r>
      <w:r w:rsidR="00683364" w:rsidRPr="00C219D0">
        <w:rPr>
          <w:rFonts w:ascii="Times New Roman" w:hAnsi="Times New Roman" w:cs="Times New Roman"/>
          <w:bCs/>
          <w:sz w:val="24"/>
          <w:szCs w:val="24"/>
        </w:rPr>
        <w:t xml:space="preserve"> автоматизации производственных процессов в машиностроении, информационно-измерительных систем, электроники и микропроцессорной техники, технологии конструкционных материалов, теории электропривода, обработки на станках с ЧПУ, систем программного управления технологическими комплексами,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автоматического контроля изделий машиностроения и приборостроения, нормирования точности и технических измерений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. В лабораториях расположено современное учебное и промышленное оборудование, позволяющее на практике изучить конструкции </w:t>
      </w:r>
      <w:r w:rsidR="00C219D0" w:rsidRPr="00C219D0">
        <w:rPr>
          <w:rFonts w:ascii="Times New Roman" w:hAnsi="Times New Roman" w:cs="Times New Roman"/>
          <w:bCs/>
          <w:sz w:val="24"/>
          <w:szCs w:val="24"/>
        </w:rPr>
        <w:t>современных роботов и робототехнических систем, мехатронных модулей</w:t>
      </w:r>
      <w:r w:rsidRPr="00C219D0">
        <w:rPr>
          <w:rFonts w:ascii="Times New Roman" w:hAnsi="Times New Roman" w:cs="Times New Roman"/>
          <w:bCs/>
          <w:sz w:val="24"/>
          <w:szCs w:val="24"/>
        </w:rPr>
        <w:t>, исследовать закономерности их работы, устройства и принципы автоматического управления.</w:t>
      </w:r>
    </w:p>
    <w:p w:rsidR="005838AC" w:rsidRPr="00C219D0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 w:rsidRPr="00C219D0">
        <w:rPr>
          <w:rFonts w:ascii="Times New Roman" w:hAnsi="Times New Roman" w:cs="Times New Roman"/>
          <w:bCs/>
          <w:sz w:val="24"/>
          <w:szCs w:val="24"/>
        </w:rPr>
        <w:t>к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валифицированными специалистами, из которых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2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профессор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а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10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доцентов, занимающихся не только образовательной деятельностью, но и научно-исследовательской работой, что позвол</w:t>
      </w:r>
      <w:r w:rsidR="009B691C">
        <w:rPr>
          <w:rFonts w:ascii="Times New Roman" w:hAnsi="Times New Roman" w:cs="Times New Roman"/>
          <w:bCs/>
          <w:sz w:val="24"/>
          <w:szCs w:val="24"/>
        </w:rPr>
        <w:t xml:space="preserve">ит </w:t>
      </w:r>
      <w:r w:rsidRPr="00C219D0">
        <w:rPr>
          <w:rFonts w:ascii="Times New Roman" w:hAnsi="Times New Roman" w:cs="Times New Roman"/>
          <w:bCs/>
          <w:sz w:val="24"/>
          <w:szCs w:val="24"/>
        </w:rPr>
        <w:t>обеспечить подготовку магистров, а та</w:t>
      </w:r>
      <w:r w:rsidR="0030167A" w:rsidRPr="00C219D0">
        <w:rPr>
          <w:rFonts w:ascii="Times New Roman" w:hAnsi="Times New Roman" w:cs="Times New Roman"/>
          <w:bCs/>
          <w:sz w:val="24"/>
          <w:szCs w:val="24"/>
        </w:rPr>
        <w:t>к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же работу </w:t>
      </w:r>
      <w:r w:rsidR="002C0213" w:rsidRPr="00C219D0">
        <w:rPr>
          <w:rFonts w:ascii="Times New Roman" w:hAnsi="Times New Roman" w:cs="Times New Roman"/>
          <w:bCs/>
          <w:sz w:val="24"/>
          <w:szCs w:val="24"/>
        </w:rPr>
        <w:t>аспирантуры</w:t>
      </w:r>
      <w:r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Pr="00C219D0" w:rsidRDefault="0030167A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Pr="00C219D0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A6" w:rsidRPr="009021E5" w:rsidRDefault="00CD59A6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Выпускники направляются на первое место работы на базовые предприятия отрасли, в число которых входят ОАО «Могилевский завод лифтового машиностроения», </w:t>
      </w:r>
      <w:r w:rsidR="00FD01B1" w:rsidRPr="00C219D0">
        <w:rPr>
          <w:rFonts w:ascii="Times New Roman" w:hAnsi="Times New Roman" w:cs="Times New Roman"/>
          <w:bCs/>
          <w:sz w:val="24"/>
          <w:szCs w:val="24"/>
        </w:rPr>
        <w:t>ООО «</w:t>
      </w:r>
      <w:r w:rsidR="00FD01B1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FD01B1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Pr="00C219D0">
        <w:rPr>
          <w:rFonts w:ascii="Times New Roman" w:hAnsi="Times New Roman" w:cs="Times New Roman"/>
          <w:bCs/>
          <w:sz w:val="24"/>
          <w:szCs w:val="24"/>
        </w:rPr>
        <w:t>ОАО Минский автомобильный завод,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</w:t>
      </w:r>
      <w:r w:rsidR="00E53AB4" w:rsidRPr="00C219D0">
        <w:rPr>
          <w:rFonts w:ascii="Times New Roman" w:hAnsi="Times New Roman" w:cs="Times New Roman"/>
          <w:bCs/>
          <w:sz w:val="24"/>
          <w:szCs w:val="24"/>
        </w:rPr>
        <w:t>, ОАО «</w:t>
      </w:r>
      <w:proofErr w:type="spellStart"/>
      <w:r w:rsidR="00E53AB4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E53AB4" w:rsidRPr="00C219D0">
        <w:rPr>
          <w:rFonts w:ascii="Times New Roman" w:hAnsi="Times New Roman" w:cs="Times New Roman"/>
          <w:bCs/>
          <w:sz w:val="24"/>
          <w:szCs w:val="24"/>
        </w:rPr>
        <w:t xml:space="preserve">», ОАО </w:t>
      </w:r>
      <w:r w:rsidR="00E53AB4" w:rsidRPr="00C21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Бобруйсксельмаш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Бобруйскагромаш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Белкоммунмаш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», ОАО «МАЗ», ОАО «Минский завод колесных тягачей»,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ПО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«Минский тракторный завод», ПРУП </w:t>
      </w:r>
      <w:r w:rsidR="00685C03" w:rsidRPr="00C219D0">
        <w:rPr>
          <w:rFonts w:ascii="Times New Roman" w:hAnsi="Times New Roman" w:cs="Times New Roman"/>
          <w:sz w:val="24"/>
          <w:szCs w:val="24"/>
        </w:rPr>
        <w:t>«Минский завод шестерен»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и други</w:t>
      </w:r>
      <w:r w:rsidR="009B691C">
        <w:rPr>
          <w:rFonts w:ascii="Times New Roman" w:hAnsi="Times New Roman" w:cs="Times New Roman"/>
          <w:bCs/>
          <w:sz w:val="24"/>
          <w:szCs w:val="24"/>
        </w:rPr>
        <w:t>е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D59A6" w:rsidRPr="009021E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12560"/>
    <w:rsid w:val="00030531"/>
    <w:rsid w:val="00077E76"/>
    <w:rsid w:val="000E0078"/>
    <w:rsid w:val="000E4DC7"/>
    <w:rsid w:val="001105FF"/>
    <w:rsid w:val="0013091F"/>
    <w:rsid w:val="00136B92"/>
    <w:rsid w:val="001B5ED2"/>
    <w:rsid w:val="001F270E"/>
    <w:rsid w:val="002353C6"/>
    <w:rsid w:val="0024264C"/>
    <w:rsid w:val="002462D8"/>
    <w:rsid w:val="002714F7"/>
    <w:rsid w:val="002A15B0"/>
    <w:rsid w:val="002B45D3"/>
    <w:rsid w:val="002C0213"/>
    <w:rsid w:val="002E3374"/>
    <w:rsid w:val="002F1BFF"/>
    <w:rsid w:val="0030167A"/>
    <w:rsid w:val="003A524B"/>
    <w:rsid w:val="00440752"/>
    <w:rsid w:val="004A37E1"/>
    <w:rsid w:val="004B509D"/>
    <w:rsid w:val="004C4ECB"/>
    <w:rsid w:val="004D04B5"/>
    <w:rsid w:val="004D2E5C"/>
    <w:rsid w:val="00516502"/>
    <w:rsid w:val="00525CED"/>
    <w:rsid w:val="00526E13"/>
    <w:rsid w:val="005342A7"/>
    <w:rsid w:val="005838AC"/>
    <w:rsid w:val="005A236A"/>
    <w:rsid w:val="005B0757"/>
    <w:rsid w:val="005E1581"/>
    <w:rsid w:val="005E2DBB"/>
    <w:rsid w:val="00614CC2"/>
    <w:rsid w:val="00617A1C"/>
    <w:rsid w:val="006663F1"/>
    <w:rsid w:val="00683364"/>
    <w:rsid w:val="00685C03"/>
    <w:rsid w:val="006A1032"/>
    <w:rsid w:val="0070263E"/>
    <w:rsid w:val="00723643"/>
    <w:rsid w:val="00743307"/>
    <w:rsid w:val="00792C28"/>
    <w:rsid w:val="007B0DE9"/>
    <w:rsid w:val="00822299"/>
    <w:rsid w:val="00852F51"/>
    <w:rsid w:val="00863010"/>
    <w:rsid w:val="0087661A"/>
    <w:rsid w:val="008A705A"/>
    <w:rsid w:val="008D3C16"/>
    <w:rsid w:val="008D55F4"/>
    <w:rsid w:val="008E0245"/>
    <w:rsid w:val="008E2103"/>
    <w:rsid w:val="009021E5"/>
    <w:rsid w:val="00913E6B"/>
    <w:rsid w:val="0092528A"/>
    <w:rsid w:val="00925DD1"/>
    <w:rsid w:val="009B09DA"/>
    <w:rsid w:val="009B691C"/>
    <w:rsid w:val="009C0DF9"/>
    <w:rsid w:val="009D7184"/>
    <w:rsid w:val="009E1101"/>
    <w:rsid w:val="00A3079E"/>
    <w:rsid w:val="00A33A3C"/>
    <w:rsid w:val="00A65625"/>
    <w:rsid w:val="00A725C1"/>
    <w:rsid w:val="00A96453"/>
    <w:rsid w:val="00A97EC4"/>
    <w:rsid w:val="00B15670"/>
    <w:rsid w:val="00B16CEF"/>
    <w:rsid w:val="00B41C9E"/>
    <w:rsid w:val="00B43BE5"/>
    <w:rsid w:val="00B75B4F"/>
    <w:rsid w:val="00BB5E49"/>
    <w:rsid w:val="00BC7439"/>
    <w:rsid w:val="00BE697B"/>
    <w:rsid w:val="00BE7C72"/>
    <w:rsid w:val="00C219D0"/>
    <w:rsid w:val="00C32322"/>
    <w:rsid w:val="00C45AC1"/>
    <w:rsid w:val="00C52AA5"/>
    <w:rsid w:val="00C652BA"/>
    <w:rsid w:val="00C81E49"/>
    <w:rsid w:val="00C866B9"/>
    <w:rsid w:val="00C97092"/>
    <w:rsid w:val="00CB7157"/>
    <w:rsid w:val="00CB7B15"/>
    <w:rsid w:val="00CC407F"/>
    <w:rsid w:val="00CD59A6"/>
    <w:rsid w:val="00D300AE"/>
    <w:rsid w:val="00D64650"/>
    <w:rsid w:val="00D74F5C"/>
    <w:rsid w:val="00D87518"/>
    <w:rsid w:val="00DC001E"/>
    <w:rsid w:val="00E33855"/>
    <w:rsid w:val="00E53AB4"/>
    <w:rsid w:val="00E61BB1"/>
    <w:rsid w:val="00E83654"/>
    <w:rsid w:val="00EC64F3"/>
    <w:rsid w:val="00EE1F34"/>
    <w:rsid w:val="00F26B4D"/>
    <w:rsid w:val="00F37CEE"/>
    <w:rsid w:val="00F71A6C"/>
    <w:rsid w:val="00F87691"/>
    <w:rsid w:val="00F94A7E"/>
    <w:rsid w:val="00FD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1CDBD-CC8F-47EC-A761-CF9CCC6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14</cp:revision>
  <dcterms:created xsi:type="dcterms:W3CDTF">2017-01-20T05:15:00Z</dcterms:created>
  <dcterms:modified xsi:type="dcterms:W3CDTF">2017-10-18T13:09:00Z</dcterms:modified>
</cp:coreProperties>
</file>